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6AC" w:rsidRPr="004456AC" w:rsidRDefault="004456AC" w:rsidP="004456AC">
      <w:pPr>
        <w:shd w:val="clear" w:color="auto" w:fill="FFFFFF"/>
        <w:spacing w:after="75" w:line="270" w:lineRule="atLeast"/>
        <w:ind w:left="720" w:right="600"/>
        <w:textAlignment w:val="baseline"/>
        <w:rPr>
          <w:rFonts w:ascii="Verdana" w:eastAsia="Times New Roman" w:hAnsi="Verdana" w:cs="Times New Roman"/>
          <w:b/>
          <w:bCs/>
          <w:color w:val="272B33"/>
          <w:sz w:val="20"/>
          <w:szCs w:val="20"/>
          <w:lang w:eastAsia="it-IT"/>
        </w:rPr>
      </w:pPr>
      <w:r w:rsidRPr="004456AC">
        <w:rPr>
          <w:rFonts w:ascii="Verdana" w:eastAsia="Times New Roman" w:hAnsi="Verdana" w:cs="Times New Roman"/>
          <w:b/>
          <w:bCs/>
          <w:color w:val="272B33"/>
          <w:sz w:val="20"/>
          <w:szCs w:val="20"/>
          <w:lang w:eastAsia="it-IT"/>
        </w:rPr>
        <w:br/>
        <w:t>Cassazione civile, sez. lav., 05/04/2018, (ud. 10/01/2018, dep.05/04/2018</w:t>
      </w:r>
      <w:proofErr w:type="gramStart"/>
      <w:r w:rsidRPr="004456AC">
        <w:rPr>
          <w:rFonts w:ascii="Verdana" w:eastAsia="Times New Roman" w:hAnsi="Verdana" w:cs="Times New Roman"/>
          <w:b/>
          <w:bCs/>
          <w:color w:val="272B33"/>
          <w:sz w:val="20"/>
          <w:szCs w:val="20"/>
          <w:lang w:eastAsia="it-IT"/>
        </w:rPr>
        <w:t>),  n.</w:t>
      </w:r>
      <w:proofErr w:type="gramEnd"/>
      <w:r w:rsidRPr="004456AC">
        <w:rPr>
          <w:rFonts w:ascii="Verdana" w:eastAsia="Times New Roman" w:hAnsi="Verdana" w:cs="Times New Roman"/>
          <w:b/>
          <w:bCs/>
          <w:color w:val="272B33"/>
          <w:sz w:val="20"/>
          <w:szCs w:val="20"/>
          <w:lang w:eastAsia="it-IT"/>
        </w:rPr>
        <w:t xml:space="preserve"> 8419</w:t>
      </w:r>
    </w:p>
    <w:p w:rsidR="004456AC" w:rsidRPr="004456AC" w:rsidRDefault="004456AC" w:rsidP="004456AC">
      <w:pPr>
        <w:numPr>
          <w:ilvl w:val="0"/>
          <w:numId w:val="1"/>
        </w:numPr>
        <w:shd w:val="clear" w:color="auto" w:fill="FFFFFF"/>
        <w:spacing w:after="0" w:line="270" w:lineRule="atLeast"/>
        <w:ind w:left="0"/>
        <w:jc w:val="center"/>
        <w:textAlignment w:val="baseline"/>
        <w:outlineLvl w:val="2"/>
        <w:rPr>
          <w:rFonts w:ascii="Verdana" w:eastAsia="Times New Roman" w:hAnsi="Verdana" w:cs="Times New Roman"/>
          <w:b/>
          <w:bCs/>
          <w:color w:val="272B33"/>
          <w:sz w:val="20"/>
          <w:szCs w:val="20"/>
          <w:lang w:eastAsia="it-IT"/>
        </w:rPr>
      </w:pPr>
      <w:r w:rsidRPr="004456AC">
        <w:rPr>
          <w:rFonts w:ascii="Verdana" w:eastAsia="Times New Roman" w:hAnsi="Verdana" w:cs="Times New Roman"/>
          <w:b/>
          <w:bCs/>
          <w:color w:val="272B33"/>
          <w:sz w:val="18"/>
          <w:szCs w:val="18"/>
          <w:bdr w:val="single" w:sz="6" w:space="0" w:color="000000" w:frame="1"/>
          <w:lang w:eastAsia="it-IT"/>
        </w:rPr>
        <w:t>Intestazione</w:t>
      </w:r>
    </w:p>
    <w:p w:rsidR="004456AC" w:rsidRPr="004456AC" w:rsidRDefault="004456AC" w:rsidP="004456AC">
      <w:pPr>
        <w:shd w:val="clear" w:color="auto" w:fill="FFFFFF"/>
        <w:spacing w:after="0" w:line="270" w:lineRule="atLeast"/>
        <w:jc w:val="both"/>
        <w:textAlignment w:val="baseline"/>
        <w:rPr>
          <w:rFonts w:ascii="Verdana" w:eastAsia="Times New Roman" w:hAnsi="Verdana" w:cs="Times New Roman"/>
          <w:color w:val="272B33"/>
          <w:sz w:val="20"/>
          <w:szCs w:val="20"/>
          <w:lang w:eastAsia="it-IT"/>
        </w:rPr>
      </w:pPr>
    </w:p>
    <w:p w:rsidR="004456AC" w:rsidRPr="004456AC" w:rsidRDefault="004456AC" w:rsidP="004456AC">
      <w:pPr>
        <w:numPr>
          <w:ilvl w:val="0"/>
          <w:numId w:val="1"/>
        </w:numPr>
        <w:shd w:val="clear" w:color="auto" w:fill="FFFFFF"/>
        <w:spacing w:before="300" w:after="0" w:line="270" w:lineRule="atLeast"/>
        <w:ind w:left="0"/>
        <w:jc w:val="center"/>
        <w:textAlignment w:val="baseline"/>
        <w:outlineLvl w:val="2"/>
        <w:rPr>
          <w:rFonts w:ascii="Verdana" w:eastAsia="Times New Roman" w:hAnsi="Verdana" w:cs="Times New Roman"/>
          <w:b/>
          <w:bCs/>
          <w:color w:val="272B33"/>
          <w:sz w:val="20"/>
          <w:szCs w:val="20"/>
          <w:lang w:eastAsia="it-IT"/>
        </w:rPr>
      </w:pPr>
      <w:r w:rsidRPr="004456AC">
        <w:rPr>
          <w:rFonts w:ascii="Verdana" w:eastAsia="Times New Roman" w:hAnsi="Verdana" w:cs="Times New Roman"/>
          <w:b/>
          <w:bCs/>
          <w:color w:val="272B33"/>
          <w:sz w:val="20"/>
          <w:szCs w:val="20"/>
          <w:lang w:eastAsia="it-IT"/>
        </w:rPr>
        <w:t>Fatto</w:t>
      </w:r>
    </w:p>
    <w:p w:rsidR="004456AC" w:rsidRPr="004456AC" w:rsidRDefault="004456AC" w:rsidP="004456AC">
      <w:pPr>
        <w:shd w:val="clear" w:color="auto" w:fill="FFFFFF"/>
        <w:spacing w:after="0" w:line="270" w:lineRule="atLeast"/>
        <w:jc w:val="both"/>
        <w:textAlignment w:val="baseline"/>
        <w:rPr>
          <w:rFonts w:ascii="Verdana" w:eastAsia="Times New Roman" w:hAnsi="Verdana" w:cs="Times New Roman"/>
          <w:color w:val="272B33"/>
          <w:sz w:val="20"/>
          <w:szCs w:val="20"/>
          <w:lang w:eastAsia="it-IT"/>
        </w:rPr>
      </w:pPr>
      <w:r w:rsidRPr="004456AC">
        <w:rPr>
          <w:rFonts w:ascii="Verdana" w:eastAsia="Times New Roman" w:hAnsi="Verdana" w:cs="Times New Roman"/>
          <w:color w:val="272B33"/>
          <w:sz w:val="20"/>
          <w:szCs w:val="20"/>
          <w:lang w:eastAsia="it-IT"/>
        </w:rPr>
        <w:t>FATTI DI CAUSA</w:t>
      </w:r>
    </w:p>
    <w:p w:rsidR="004456AC" w:rsidRPr="004456AC" w:rsidRDefault="004456AC" w:rsidP="004456AC">
      <w:pPr>
        <w:shd w:val="clear" w:color="auto" w:fill="FFFFFF"/>
        <w:spacing w:after="0" w:line="330" w:lineRule="atLeast"/>
        <w:ind w:right="300"/>
        <w:jc w:val="both"/>
        <w:textAlignment w:val="baseline"/>
        <w:rPr>
          <w:rFonts w:ascii="Verdana" w:eastAsia="Times New Roman" w:hAnsi="Verdana" w:cs="Times New Roman"/>
          <w:color w:val="272B33"/>
          <w:sz w:val="20"/>
          <w:szCs w:val="20"/>
          <w:lang w:eastAsia="it-IT"/>
        </w:rPr>
      </w:pPr>
      <w:r w:rsidRPr="004456AC">
        <w:rPr>
          <w:rFonts w:ascii="Verdana" w:eastAsia="Times New Roman" w:hAnsi="Verdana" w:cs="Times New Roman"/>
          <w:color w:val="272B33"/>
          <w:sz w:val="20"/>
          <w:szCs w:val="20"/>
          <w:lang w:eastAsia="it-IT"/>
        </w:rPr>
        <w:t xml:space="preserve">1. Il Tribunale di S. Maria Capua Vetere confermava l'ordinanza, resa nella fase sommaria, di annullamento del licenziamento intimato a L.F. - pompista presso l'area di servizio "(OMISSIS)" - dalla Borghese Service s.r.l. il 18.9.2008 in considerazione della sua inabilità al lavoro conseguente alla grave patologia contratta (linfoma di </w:t>
      </w:r>
      <w:proofErr w:type="spellStart"/>
      <w:r w:rsidRPr="004456AC">
        <w:rPr>
          <w:rFonts w:ascii="Verdana" w:eastAsia="Times New Roman" w:hAnsi="Verdana" w:cs="Times New Roman"/>
          <w:color w:val="272B33"/>
          <w:sz w:val="20"/>
          <w:szCs w:val="20"/>
          <w:lang w:eastAsia="it-IT"/>
        </w:rPr>
        <w:t>Hodgkin</w:t>
      </w:r>
      <w:proofErr w:type="spellEnd"/>
      <w:r w:rsidRPr="004456AC">
        <w:rPr>
          <w:rFonts w:ascii="Verdana" w:eastAsia="Times New Roman" w:hAnsi="Verdana" w:cs="Times New Roman"/>
          <w:color w:val="272B33"/>
          <w:sz w:val="20"/>
          <w:szCs w:val="20"/>
          <w:lang w:eastAsia="it-IT"/>
        </w:rPr>
        <w:t>), con relativa reintegra nel posto di lavoro, limitando, tuttavia, il risarcimento del danno alla misura minima di legge, sul rilievo che il ricorrente, nel periodo intercorrente tra il licenziamento e la reintegra, non avrebbe potuto in ogni caso lavorare a causa della malattia.</w:t>
      </w:r>
    </w:p>
    <w:p w:rsidR="004456AC" w:rsidRPr="004456AC" w:rsidRDefault="004456AC" w:rsidP="004456AC">
      <w:pPr>
        <w:shd w:val="clear" w:color="auto" w:fill="FFFFFF"/>
        <w:spacing w:after="0" w:line="330" w:lineRule="atLeast"/>
        <w:ind w:right="300"/>
        <w:jc w:val="both"/>
        <w:textAlignment w:val="baseline"/>
        <w:rPr>
          <w:rFonts w:ascii="Verdana" w:eastAsia="Times New Roman" w:hAnsi="Verdana" w:cs="Times New Roman"/>
          <w:color w:val="272B33"/>
          <w:sz w:val="20"/>
          <w:szCs w:val="20"/>
          <w:lang w:eastAsia="it-IT"/>
        </w:rPr>
      </w:pPr>
      <w:r w:rsidRPr="004456AC">
        <w:rPr>
          <w:rFonts w:ascii="Verdana" w:eastAsia="Times New Roman" w:hAnsi="Verdana" w:cs="Times New Roman"/>
          <w:color w:val="272B33"/>
          <w:sz w:val="20"/>
          <w:szCs w:val="20"/>
          <w:lang w:eastAsia="it-IT"/>
        </w:rPr>
        <w:t>2. La Corte di appello di Napoli, adita in sede di reclamo da entrambe le parti, in accoglimento dell'impugnazione proposta dalla società assorbita quella del lavoratore - ed in riforma dell'impugnata sentenza, dichiarava la legittimità del licenziamento dopo avere respinto l'eccezione di decadenza sollevata in relazione al superamento del termine per il deposito del ricorso giudiziale, sul rilievo che i termini introdotti dalla </w:t>
      </w:r>
      <w:hyperlink r:id="rId5" w:history="1">
        <w:r w:rsidRPr="004456AC">
          <w:rPr>
            <w:rFonts w:ascii="Verdana" w:eastAsia="Times New Roman" w:hAnsi="Verdana" w:cs="Times New Roman"/>
            <w:color w:val="004F8A"/>
            <w:sz w:val="18"/>
            <w:szCs w:val="18"/>
            <w:u w:val="single"/>
            <w:bdr w:val="none" w:sz="0" w:space="0" w:color="auto" w:frame="1"/>
            <w:lang w:eastAsia="it-IT"/>
          </w:rPr>
          <w:t>L. n. 183 del 2010, art. 32,</w:t>
        </w:r>
      </w:hyperlink>
      <w:r w:rsidRPr="004456AC">
        <w:rPr>
          <w:rFonts w:ascii="Verdana" w:eastAsia="Times New Roman" w:hAnsi="Verdana" w:cs="Times New Roman"/>
          <w:color w:val="272B33"/>
          <w:sz w:val="20"/>
          <w:szCs w:val="20"/>
          <w:lang w:eastAsia="it-IT"/>
        </w:rPr>
        <w:t> comma 1, in virtù di quanto poi stabilito dall'art. 32, comma 1 bis, della stessa legge, introdotto dal </w:t>
      </w:r>
      <w:hyperlink r:id="rId6" w:history="1">
        <w:r w:rsidRPr="004456AC">
          <w:rPr>
            <w:rFonts w:ascii="Verdana" w:eastAsia="Times New Roman" w:hAnsi="Verdana" w:cs="Times New Roman"/>
            <w:color w:val="004F8A"/>
            <w:sz w:val="18"/>
            <w:szCs w:val="18"/>
            <w:u w:val="single"/>
            <w:bdr w:val="none" w:sz="0" w:space="0" w:color="auto" w:frame="1"/>
            <w:lang w:eastAsia="it-IT"/>
          </w:rPr>
          <w:t>D.L. n. 225 del 2010, art. 2,</w:t>
        </w:r>
      </w:hyperlink>
      <w:r w:rsidRPr="004456AC">
        <w:rPr>
          <w:rFonts w:ascii="Verdana" w:eastAsia="Times New Roman" w:hAnsi="Verdana" w:cs="Times New Roman"/>
          <w:color w:val="272B33"/>
          <w:sz w:val="20"/>
          <w:szCs w:val="20"/>
          <w:lang w:eastAsia="it-IT"/>
        </w:rPr>
        <w:t xml:space="preserve"> comma 54, </w:t>
      </w:r>
      <w:proofErr w:type="spellStart"/>
      <w:r w:rsidRPr="004456AC">
        <w:rPr>
          <w:rFonts w:ascii="Verdana" w:eastAsia="Times New Roman" w:hAnsi="Verdana" w:cs="Times New Roman"/>
          <w:color w:val="272B33"/>
          <w:sz w:val="20"/>
          <w:szCs w:val="20"/>
          <w:lang w:eastAsia="it-IT"/>
        </w:rPr>
        <w:t>conv</w:t>
      </w:r>
      <w:proofErr w:type="spellEnd"/>
      <w:r w:rsidRPr="004456AC">
        <w:rPr>
          <w:rFonts w:ascii="Verdana" w:eastAsia="Times New Roman" w:hAnsi="Verdana" w:cs="Times New Roman"/>
          <w:color w:val="272B33"/>
          <w:sz w:val="20"/>
          <w:szCs w:val="20"/>
          <w:lang w:eastAsia="it-IT"/>
        </w:rPr>
        <w:t xml:space="preserve">. </w:t>
      </w:r>
      <w:proofErr w:type="gramStart"/>
      <w:r w:rsidRPr="004456AC">
        <w:rPr>
          <w:rFonts w:ascii="Verdana" w:eastAsia="Times New Roman" w:hAnsi="Verdana" w:cs="Times New Roman"/>
          <w:color w:val="272B33"/>
          <w:sz w:val="20"/>
          <w:szCs w:val="20"/>
          <w:lang w:eastAsia="it-IT"/>
        </w:rPr>
        <w:t>con</w:t>
      </w:r>
      <w:proofErr w:type="gramEnd"/>
      <w:r w:rsidRPr="004456AC">
        <w:rPr>
          <w:rFonts w:ascii="Verdana" w:eastAsia="Times New Roman" w:hAnsi="Verdana" w:cs="Times New Roman"/>
          <w:color w:val="272B33"/>
          <w:sz w:val="20"/>
          <w:szCs w:val="20"/>
          <w:lang w:eastAsia="it-IT"/>
        </w:rPr>
        <w:t xml:space="preserve"> modificazioni dalla </w:t>
      </w:r>
      <w:hyperlink r:id="rId7" w:history="1">
        <w:r w:rsidRPr="004456AC">
          <w:rPr>
            <w:rFonts w:ascii="Verdana" w:eastAsia="Times New Roman" w:hAnsi="Verdana" w:cs="Times New Roman"/>
            <w:color w:val="004F8A"/>
            <w:sz w:val="18"/>
            <w:szCs w:val="18"/>
            <w:u w:val="single"/>
            <w:bdr w:val="none" w:sz="0" w:space="0" w:color="auto" w:frame="1"/>
            <w:lang w:eastAsia="it-IT"/>
          </w:rPr>
          <w:t>L. n. 10 del 2011</w:t>
        </w:r>
      </w:hyperlink>
      <w:r w:rsidRPr="004456AC">
        <w:rPr>
          <w:rFonts w:ascii="Verdana" w:eastAsia="Times New Roman" w:hAnsi="Verdana" w:cs="Times New Roman"/>
          <w:color w:val="272B33"/>
          <w:sz w:val="20"/>
          <w:szCs w:val="20"/>
          <w:lang w:eastAsia="it-IT"/>
        </w:rPr>
        <w:t>, non fossero applicabili e che pertanto non fosse maturata alcuna decadenza.</w:t>
      </w:r>
    </w:p>
    <w:p w:rsidR="004456AC" w:rsidRPr="004456AC" w:rsidRDefault="004456AC" w:rsidP="004456AC">
      <w:pPr>
        <w:shd w:val="clear" w:color="auto" w:fill="FFFFFF"/>
        <w:spacing w:after="0" w:line="330" w:lineRule="atLeast"/>
        <w:ind w:right="300"/>
        <w:jc w:val="both"/>
        <w:textAlignment w:val="baseline"/>
        <w:rPr>
          <w:rFonts w:ascii="Verdana" w:eastAsia="Times New Roman" w:hAnsi="Verdana" w:cs="Times New Roman"/>
          <w:color w:val="272B33"/>
          <w:sz w:val="20"/>
          <w:szCs w:val="20"/>
          <w:lang w:eastAsia="it-IT"/>
        </w:rPr>
      </w:pPr>
      <w:r w:rsidRPr="004456AC">
        <w:rPr>
          <w:rFonts w:ascii="Verdana" w:eastAsia="Times New Roman" w:hAnsi="Verdana" w:cs="Times New Roman"/>
          <w:color w:val="272B33"/>
          <w:sz w:val="20"/>
          <w:szCs w:val="20"/>
          <w:lang w:eastAsia="it-IT"/>
        </w:rPr>
        <w:t>3. Nel merito, alla luce di orientamento espresso dalla S.C. in relazione ad ipotesi di sopravvenuta infermità del lavoratore, la Corte rilevava che nella contrattazione collettiva non esisteva un profilo di "pompista self", che dall'esame della prova per testi era emerso che tutti i pompisti erano addetti, all'occorrenza, alla pompa self e che l'organico aziendale era tale per cui, in mancanza di surrogabilità di alcune funzioni, doveva escludersi, in base a principi di correttezza e buona fede, una diversa organizzazione aziendale che non comportasse un'utilizzazione piena delle prestazioni lavorative del lavoratore in coerenza con i principi di corrispettività, non potendo esigersi che il datore ricevesse una prestazione parziale non satisfattiva del suo interesse in un contesto aziendale del quale l'organizzazione da parte datoriale doveva ritenersi insindacabilmente rimessa allo stesso.</w:t>
      </w:r>
    </w:p>
    <w:p w:rsidR="004456AC" w:rsidRPr="004456AC" w:rsidRDefault="004456AC" w:rsidP="004456AC">
      <w:pPr>
        <w:shd w:val="clear" w:color="auto" w:fill="FFFFFF"/>
        <w:spacing w:after="0" w:line="330" w:lineRule="atLeast"/>
        <w:ind w:right="300"/>
        <w:jc w:val="both"/>
        <w:textAlignment w:val="baseline"/>
        <w:rPr>
          <w:rFonts w:ascii="Verdana" w:eastAsia="Times New Roman" w:hAnsi="Verdana" w:cs="Times New Roman"/>
          <w:color w:val="272B33"/>
          <w:sz w:val="20"/>
          <w:szCs w:val="20"/>
          <w:lang w:eastAsia="it-IT"/>
        </w:rPr>
      </w:pPr>
      <w:r w:rsidRPr="004456AC">
        <w:rPr>
          <w:rFonts w:ascii="Verdana" w:eastAsia="Times New Roman" w:hAnsi="Verdana" w:cs="Times New Roman"/>
          <w:color w:val="272B33"/>
          <w:sz w:val="20"/>
          <w:szCs w:val="20"/>
          <w:lang w:eastAsia="it-IT"/>
        </w:rPr>
        <w:t>4. Aggiungeva che era emerso che l'azienda risentiva di un momento di crisi, in cui erano stati effettuati licenziamenti e non assunzioni e che era stato escluso che l'adibizione alla pompa self fosse meno nociva per il L., senza considerare che tale soluzione organizzativa avrebbe comportato l'adibizione continuativa degli altri lavoratori alle pompe di servizio, con maggiore esposizione a rischio degli stessi, e alterazione dell'organigramma aziendale.</w:t>
      </w:r>
    </w:p>
    <w:p w:rsidR="004456AC" w:rsidRPr="004456AC" w:rsidRDefault="004456AC" w:rsidP="004456AC">
      <w:pPr>
        <w:shd w:val="clear" w:color="auto" w:fill="FFFFFF"/>
        <w:spacing w:after="0" w:line="330" w:lineRule="atLeast"/>
        <w:ind w:right="300"/>
        <w:jc w:val="both"/>
        <w:textAlignment w:val="baseline"/>
        <w:rPr>
          <w:rFonts w:ascii="Verdana" w:eastAsia="Times New Roman" w:hAnsi="Verdana" w:cs="Times New Roman"/>
          <w:color w:val="272B33"/>
          <w:sz w:val="20"/>
          <w:szCs w:val="20"/>
          <w:lang w:eastAsia="it-IT"/>
        </w:rPr>
      </w:pPr>
      <w:r w:rsidRPr="004456AC">
        <w:rPr>
          <w:rFonts w:ascii="Verdana" w:eastAsia="Times New Roman" w:hAnsi="Verdana" w:cs="Times New Roman"/>
          <w:color w:val="272B33"/>
          <w:sz w:val="20"/>
          <w:szCs w:val="20"/>
          <w:lang w:eastAsia="it-IT"/>
        </w:rPr>
        <w:t>5. Per la cassazione di tale decisione ricorre il L., affidando l'impugnazione ad unico motivo, cui resiste la società con controricorso, illustrato con memoria ai sensi dell'</w:t>
      </w:r>
      <w:hyperlink r:id="rId8" w:history="1">
        <w:r w:rsidRPr="004456AC">
          <w:rPr>
            <w:rFonts w:ascii="Verdana" w:eastAsia="Times New Roman" w:hAnsi="Verdana" w:cs="Times New Roman"/>
            <w:color w:val="004F8A"/>
            <w:sz w:val="18"/>
            <w:szCs w:val="18"/>
            <w:u w:val="single"/>
            <w:bdr w:val="none" w:sz="0" w:space="0" w:color="auto" w:frame="1"/>
            <w:lang w:eastAsia="it-IT"/>
          </w:rPr>
          <w:t xml:space="preserve">art. 378 </w:t>
        </w:r>
        <w:proofErr w:type="spellStart"/>
        <w:proofErr w:type="gramStart"/>
        <w:r w:rsidRPr="004456AC">
          <w:rPr>
            <w:rFonts w:ascii="Verdana" w:eastAsia="Times New Roman" w:hAnsi="Verdana" w:cs="Times New Roman"/>
            <w:color w:val="004F8A"/>
            <w:sz w:val="18"/>
            <w:szCs w:val="18"/>
            <w:u w:val="single"/>
            <w:bdr w:val="none" w:sz="0" w:space="0" w:color="auto" w:frame="1"/>
            <w:lang w:eastAsia="it-IT"/>
          </w:rPr>
          <w:t>c.p.c.</w:t>
        </w:r>
        <w:proofErr w:type="spellEnd"/>
      </w:hyperlink>
      <w:r w:rsidRPr="004456AC">
        <w:rPr>
          <w:rFonts w:ascii="Verdana" w:eastAsia="Times New Roman" w:hAnsi="Verdana" w:cs="Times New Roman"/>
          <w:color w:val="272B33"/>
          <w:sz w:val="20"/>
          <w:szCs w:val="20"/>
          <w:lang w:eastAsia="it-IT"/>
        </w:rPr>
        <w:t>.</w:t>
      </w:r>
      <w:proofErr w:type="gramEnd"/>
      <w:r w:rsidRPr="004456AC">
        <w:rPr>
          <w:rFonts w:ascii="Verdana" w:eastAsia="Times New Roman" w:hAnsi="Verdana" w:cs="Times New Roman"/>
          <w:color w:val="272B33"/>
          <w:sz w:val="20"/>
          <w:szCs w:val="20"/>
          <w:lang w:eastAsia="it-IT"/>
        </w:rPr>
        <w:t xml:space="preserve"> La Direzione Territoriale del Lavoro di Caserta si è costituita al solo fine dell'eventuale partecipazione all'udienza di discussione e l'INPS ha rilasciato procura speciale in calce al ricorso notificato. L'INAIL è rimasto intimato.</w:t>
      </w:r>
    </w:p>
    <w:p w:rsidR="004456AC" w:rsidRPr="004456AC" w:rsidRDefault="004456AC" w:rsidP="004456AC">
      <w:pPr>
        <w:numPr>
          <w:ilvl w:val="0"/>
          <w:numId w:val="1"/>
        </w:numPr>
        <w:shd w:val="clear" w:color="auto" w:fill="FFFFFF"/>
        <w:spacing w:before="300" w:after="0" w:line="270" w:lineRule="atLeast"/>
        <w:ind w:left="0"/>
        <w:jc w:val="center"/>
        <w:textAlignment w:val="baseline"/>
        <w:outlineLvl w:val="2"/>
        <w:rPr>
          <w:rFonts w:ascii="Verdana" w:eastAsia="Times New Roman" w:hAnsi="Verdana" w:cs="Times New Roman"/>
          <w:b/>
          <w:bCs/>
          <w:color w:val="272B33"/>
          <w:sz w:val="20"/>
          <w:szCs w:val="20"/>
          <w:lang w:eastAsia="it-IT"/>
        </w:rPr>
      </w:pPr>
      <w:r w:rsidRPr="004456AC">
        <w:rPr>
          <w:rFonts w:ascii="Verdana" w:eastAsia="Times New Roman" w:hAnsi="Verdana" w:cs="Times New Roman"/>
          <w:b/>
          <w:bCs/>
          <w:color w:val="272B33"/>
          <w:sz w:val="20"/>
          <w:szCs w:val="20"/>
          <w:lang w:eastAsia="it-IT"/>
        </w:rPr>
        <w:lastRenderedPageBreak/>
        <w:t>Diritto</w:t>
      </w:r>
    </w:p>
    <w:p w:rsidR="004456AC" w:rsidRPr="004456AC" w:rsidRDefault="004456AC" w:rsidP="004456AC">
      <w:pPr>
        <w:shd w:val="clear" w:color="auto" w:fill="FFFFFF"/>
        <w:spacing w:after="0" w:line="270" w:lineRule="atLeast"/>
        <w:jc w:val="both"/>
        <w:textAlignment w:val="baseline"/>
        <w:rPr>
          <w:rFonts w:ascii="Verdana" w:eastAsia="Times New Roman" w:hAnsi="Verdana" w:cs="Times New Roman"/>
          <w:color w:val="272B33"/>
          <w:sz w:val="20"/>
          <w:szCs w:val="20"/>
          <w:lang w:eastAsia="it-IT"/>
        </w:rPr>
      </w:pPr>
      <w:r w:rsidRPr="004456AC">
        <w:rPr>
          <w:rFonts w:ascii="Verdana" w:eastAsia="Times New Roman" w:hAnsi="Verdana" w:cs="Times New Roman"/>
          <w:color w:val="272B33"/>
          <w:sz w:val="20"/>
          <w:szCs w:val="20"/>
          <w:lang w:eastAsia="it-IT"/>
        </w:rPr>
        <w:t>RAGIONI DELLA DECISIONE</w:t>
      </w:r>
    </w:p>
    <w:p w:rsidR="004456AC" w:rsidRPr="004456AC" w:rsidRDefault="004456AC" w:rsidP="004456AC">
      <w:pPr>
        <w:shd w:val="clear" w:color="auto" w:fill="FFFFFF"/>
        <w:spacing w:after="0" w:line="330" w:lineRule="atLeast"/>
        <w:ind w:right="300"/>
        <w:jc w:val="both"/>
        <w:textAlignment w:val="baseline"/>
        <w:rPr>
          <w:rFonts w:ascii="Verdana" w:eastAsia="Times New Roman" w:hAnsi="Verdana" w:cs="Times New Roman"/>
          <w:color w:val="272B33"/>
          <w:sz w:val="20"/>
          <w:szCs w:val="20"/>
          <w:lang w:eastAsia="it-IT"/>
        </w:rPr>
      </w:pPr>
      <w:r w:rsidRPr="004456AC">
        <w:rPr>
          <w:rFonts w:ascii="Verdana" w:eastAsia="Times New Roman" w:hAnsi="Verdana" w:cs="Times New Roman"/>
          <w:color w:val="272B33"/>
          <w:sz w:val="20"/>
          <w:szCs w:val="20"/>
          <w:lang w:eastAsia="it-IT"/>
        </w:rPr>
        <w:t>1. Preliminarmente, va rilevata la tardività della memoria del L., depositata oltre i termini di cui all'</w:t>
      </w:r>
      <w:hyperlink r:id="rId9" w:history="1">
        <w:r w:rsidRPr="004456AC">
          <w:rPr>
            <w:rFonts w:ascii="Verdana" w:eastAsia="Times New Roman" w:hAnsi="Verdana" w:cs="Times New Roman"/>
            <w:color w:val="004F8A"/>
            <w:sz w:val="18"/>
            <w:szCs w:val="18"/>
            <w:u w:val="single"/>
            <w:bdr w:val="none" w:sz="0" w:space="0" w:color="auto" w:frame="1"/>
            <w:lang w:eastAsia="it-IT"/>
          </w:rPr>
          <w:t xml:space="preserve">art. 378 </w:t>
        </w:r>
        <w:proofErr w:type="spellStart"/>
        <w:proofErr w:type="gramStart"/>
        <w:r w:rsidRPr="004456AC">
          <w:rPr>
            <w:rFonts w:ascii="Verdana" w:eastAsia="Times New Roman" w:hAnsi="Verdana" w:cs="Times New Roman"/>
            <w:color w:val="004F8A"/>
            <w:sz w:val="18"/>
            <w:szCs w:val="18"/>
            <w:u w:val="single"/>
            <w:bdr w:val="none" w:sz="0" w:space="0" w:color="auto" w:frame="1"/>
            <w:lang w:eastAsia="it-IT"/>
          </w:rPr>
          <w:t>c.p.c.</w:t>
        </w:r>
        <w:proofErr w:type="spellEnd"/>
      </w:hyperlink>
      <w:r w:rsidRPr="004456AC">
        <w:rPr>
          <w:rFonts w:ascii="Verdana" w:eastAsia="Times New Roman" w:hAnsi="Verdana" w:cs="Times New Roman"/>
          <w:color w:val="272B33"/>
          <w:sz w:val="20"/>
          <w:szCs w:val="20"/>
          <w:lang w:eastAsia="it-IT"/>
        </w:rPr>
        <w:t>.</w:t>
      </w:r>
      <w:proofErr w:type="gramEnd"/>
    </w:p>
    <w:p w:rsidR="004456AC" w:rsidRPr="004456AC" w:rsidRDefault="004456AC" w:rsidP="004456AC">
      <w:pPr>
        <w:shd w:val="clear" w:color="auto" w:fill="FFFFFF"/>
        <w:spacing w:after="0" w:line="330" w:lineRule="atLeast"/>
        <w:ind w:right="300"/>
        <w:jc w:val="both"/>
        <w:textAlignment w:val="baseline"/>
        <w:rPr>
          <w:rFonts w:ascii="Verdana" w:eastAsia="Times New Roman" w:hAnsi="Verdana" w:cs="Times New Roman"/>
          <w:color w:val="272B33"/>
          <w:sz w:val="20"/>
          <w:szCs w:val="20"/>
          <w:lang w:eastAsia="it-IT"/>
        </w:rPr>
      </w:pPr>
      <w:r w:rsidRPr="004456AC">
        <w:rPr>
          <w:rFonts w:ascii="Verdana" w:eastAsia="Times New Roman" w:hAnsi="Verdana" w:cs="Times New Roman"/>
          <w:color w:val="272B33"/>
          <w:sz w:val="20"/>
          <w:szCs w:val="20"/>
          <w:lang w:eastAsia="it-IT"/>
        </w:rPr>
        <w:t>2. Si denunzia violazione e falsa applicazione degli </w:t>
      </w:r>
      <w:hyperlink r:id="rId10" w:history="1">
        <w:r w:rsidRPr="004456AC">
          <w:rPr>
            <w:rFonts w:ascii="Verdana" w:eastAsia="Times New Roman" w:hAnsi="Verdana" w:cs="Times New Roman"/>
            <w:color w:val="004F8A"/>
            <w:sz w:val="18"/>
            <w:szCs w:val="18"/>
            <w:u w:val="single"/>
            <w:bdr w:val="none" w:sz="0" w:space="0" w:color="auto" w:frame="1"/>
            <w:lang w:eastAsia="it-IT"/>
          </w:rPr>
          <w:t>artt. 4,</w:t>
        </w:r>
      </w:hyperlink>
      <w:hyperlink r:id="rId11" w:history="1">
        <w:r w:rsidRPr="004456AC">
          <w:rPr>
            <w:rFonts w:ascii="Verdana" w:eastAsia="Times New Roman" w:hAnsi="Verdana" w:cs="Times New Roman"/>
            <w:color w:val="004F8A"/>
            <w:sz w:val="18"/>
            <w:szCs w:val="18"/>
            <w:u w:val="single"/>
            <w:bdr w:val="none" w:sz="0" w:space="0" w:color="auto" w:frame="1"/>
            <w:lang w:eastAsia="it-IT"/>
          </w:rPr>
          <w:t>32,</w:t>
        </w:r>
      </w:hyperlink>
      <w:hyperlink r:id="rId12" w:history="1">
        <w:r w:rsidRPr="004456AC">
          <w:rPr>
            <w:rFonts w:ascii="Verdana" w:eastAsia="Times New Roman" w:hAnsi="Verdana" w:cs="Times New Roman"/>
            <w:color w:val="004F8A"/>
            <w:sz w:val="18"/>
            <w:szCs w:val="18"/>
            <w:u w:val="single"/>
            <w:bdr w:val="none" w:sz="0" w:space="0" w:color="auto" w:frame="1"/>
            <w:lang w:eastAsia="it-IT"/>
          </w:rPr>
          <w:t>36</w:t>
        </w:r>
      </w:hyperlink>
      <w:r w:rsidRPr="004456AC">
        <w:rPr>
          <w:rFonts w:ascii="Verdana" w:eastAsia="Times New Roman" w:hAnsi="Verdana" w:cs="Times New Roman"/>
          <w:color w:val="272B33"/>
          <w:sz w:val="20"/>
          <w:szCs w:val="20"/>
          <w:lang w:eastAsia="it-IT"/>
        </w:rPr>
        <w:t> e </w:t>
      </w:r>
      <w:hyperlink r:id="rId13" w:history="1">
        <w:r w:rsidRPr="004456AC">
          <w:rPr>
            <w:rFonts w:ascii="Verdana" w:eastAsia="Times New Roman" w:hAnsi="Verdana" w:cs="Times New Roman"/>
            <w:color w:val="004F8A"/>
            <w:sz w:val="18"/>
            <w:szCs w:val="18"/>
            <w:u w:val="single"/>
            <w:bdr w:val="none" w:sz="0" w:space="0" w:color="auto" w:frame="1"/>
            <w:lang w:eastAsia="it-IT"/>
          </w:rPr>
          <w:t xml:space="preserve">41 </w:t>
        </w:r>
        <w:proofErr w:type="spellStart"/>
        <w:r w:rsidRPr="004456AC">
          <w:rPr>
            <w:rFonts w:ascii="Verdana" w:eastAsia="Times New Roman" w:hAnsi="Verdana" w:cs="Times New Roman"/>
            <w:color w:val="004F8A"/>
            <w:sz w:val="18"/>
            <w:szCs w:val="18"/>
            <w:u w:val="single"/>
            <w:bdr w:val="none" w:sz="0" w:space="0" w:color="auto" w:frame="1"/>
            <w:lang w:eastAsia="it-IT"/>
          </w:rPr>
          <w:t>Cost</w:t>
        </w:r>
        <w:proofErr w:type="spellEnd"/>
        <w:r w:rsidRPr="004456AC">
          <w:rPr>
            <w:rFonts w:ascii="Verdana" w:eastAsia="Times New Roman" w:hAnsi="Verdana" w:cs="Times New Roman"/>
            <w:color w:val="004F8A"/>
            <w:sz w:val="18"/>
            <w:szCs w:val="18"/>
            <w:u w:val="single"/>
            <w:bdr w:val="none" w:sz="0" w:space="0" w:color="auto" w:frame="1"/>
            <w:lang w:eastAsia="it-IT"/>
          </w:rPr>
          <w:t>.</w:t>
        </w:r>
      </w:hyperlink>
      <w:r w:rsidRPr="004456AC">
        <w:rPr>
          <w:rFonts w:ascii="Verdana" w:eastAsia="Times New Roman" w:hAnsi="Verdana" w:cs="Times New Roman"/>
          <w:color w:val="272B33"/>
          <w:sz w:val="20"/>
          <w:szCs w:val="20"/>
          <w:lang w:eastAsia="it-IT"/>
        </w:rPr>
        <w:t>, degli artt. 1175, 1375, 1463, 1464 e 2087 c.c., della </w:t>
      </w:r>
      <w:hyperlink r:id="rId14" w:history="1">
        <w:r w:rsidRPr="004456AC">
          <w:rPr>
            <w:rFonts w:ascii="Verdana" w:eastAsia="Times New Roman" w:hAnsi="Verdana" w:cs="Times New Roman"/>
            <w:color w:val="004F8A"/>
            <w:sz w:val="18"/>
            <w:szCs w:val="18"/>
            <w:u w:val="single"/>
            <w:bdr w:val="none" w:sz="0" w:space="0" w:color="auto" w:frame="1"/>
            <w:lang w:eastAsia="it-IT"/>
          </w:rPr>
          <w:t>L. n. 604 del 1966, artt. 1</w:t>
        </w:r>
      </w:hyperlink>
      <w:r w:rsidRPr="004456AC">
        <w:rPr>
          <w:rFonts w:ascii="Verdana" w:eastAsia="Times New Roman" w:hAnsi="Verdana" w:cs="Times New Roman"/>
          <w:color w:val="272B33"/>
          <w:sz w:val="20"/>
          <w:szCs w:val="20"/>
          <w:lang w:eastAsia="it-IT"/>
        </w:rPr>
        <w:t> e 3, della </w:t>
      </w:r>
      <w:hyperlink r:id="rId15" w:history="1">
        <w:r w:rsidRPr="004456AC">
          <w:rPr>
            <w:rFonts w:ascii="Verdana" w:eastAsia="Times New Roman" w:hAnsi="Verdana" w:cs="Times New Roman"/>
            <w:color w:val="004F8A"/>
            <w:sz w:val="18"/>
            <w:szCs w:val="18"/>
            <w:u w:val="single"/>
            <w:bdr w:val="none" w:sz="0" w:space="0" w:color="auto" w:frame="1"/>
            <w:lang w:eastAsia="it-IT"/>
          </w:rPr>
          <w:t>L. n. 68 del 1999</w:t>
        </w:r>
      </w:hyperlink>
      <w:r w:rsidRPr="004456AC">
        <w:rPr>
          <w:rFonts w:ascii="Verdana" w:eastAsia="Times New Roman" w:hAnsi="Verdana" w:cs="Times New Roman"/>
          <w:color w:val="272B33"/>
          <w:sz w:val="20"/>
          <w:szCs w:val="20"/>
          <w:lang w:eastAsia="it-IT"/>
        </w:rPr>
        <w:t>, in relazione all'</w:t>
      </w:r>
      <w:hyperlink r:id="rId16" w:history="1">
        <w:r w:rsidRPr="004456AC">
          <w:rPr>
            <w:rFonts w:ascii="Verdana" w:eastAsia="Times New Roman" w:hAnsi="Verdana" w:cs="Times New Roman"/>
            <w:color w:val="004F8A"/>
            <w:sz w:val="18"/>
            <w:szCs w:val="18"/>
            <w:u w:val="single"/>
            <w:bdr w:val="none" w:sz="0" w:space="0" w:color="auto" w:frame="1"/>
            <w:lang w:eastAsia="it-IT"/>
          </w:rPr>
          <w:t xml:space="preserve">art. 360 </w:t>
        </w:r>
        <w:proofErr w:type="spellStart"/>
        <w:r w:rsidRPr="004456AC">
          <w:rPr>
            <w:rFonts w:ascii="Verdana" w:eastAsia="Times New Roman" w:hAnsi="Verdana" w:cs="Times New Roman"/>
            <w:color w:val="004F8A"/>
            <w:sz w:val="18"/>
            <w:szCs w:val="18"/>
            <w:u w:val="single"/>
            <w:bdr w:val="none" w:sz="0" w:space="0" w:color="auto" w:frame="1"/>
            <w:lang w:eastAsia="it-IT"/>
          </w:rPr>
          <w:t>c.p.c.</w:t>
        </w:r>
        <w:proofErr w:type="spellEnd"/>
      </w:hyperlink>
      <w:r w:rsidRPr="004456AC">
        <w:rPr>
          <w:rFonts w:ascii="Verdana" w:eastAsia="Times New Roman" w:hAnsi="Verdana" w:cs="Times New Roman"/>
          <w:color w:val="272B33"/>
          <w:sz w:val="20"/>
          <w:szCs w:val="20"/>
          <w:lang w:eastAsia="it-IT"/>
        </w:rPr>
        <w:t>, n. 3, rilevandosi che, pur partendo da premesse conformi ai principi sanciti da consolidato orientamento giurisprudenziale di legittimità in tema di individuazione da parte del datore di mansioni alternative cui possa essere adibito il lavoratore affetto da inidoneità fisica, la Corte abbia ingiustificatamente escluso la possibilità di sostituzione del predetto nei compiti più usuranti con altro lavoratore maggiormente idoneo dal punta di vista dello stato di salute, senza che tuttavia l'azienda fosse costretta a creare per l'inabile una posizione non necessaria dal punto di vista organizzativo e produttivo. Si richiama il principio in virtù del quale grava sul datore di lavoro un obbligo di reperimento e di assegnazione delle mansioni più consone al mutato stato di salute del lavoratore divenuto inidoneo per motivi di salute, legittimandosi la risoluzione del rapporto per giustificato motivo oggettivo solo nel caso in cui risulti provato dal datore che in azienda non sussistano, per il predetto, mansioni idonee a tutelare il suo interesse alla conservazione dell'occupazione (fondato sull'</w:t>
      </w:r>
      <w:hyperlink r:id="rId17" w:history="1">
        <w:r w:rsidRPr="004456AC">
          <w:rPr>
            <w:rFonts w:ascii="Verdana" w:eastAsia="Times New Roman" w:hAnsi="Verdana" w:cs="Times New Roman"/>
            <w:color w:val="004F8A"/>
            <w:sz w:val="18"/>
            <w:szCs w:val="18"/>
            <w:u w:val="single"/>
            <w:bdr w:val="none" w:sz="0" w:space="0" w:color="auto" w:frame="1"/>
            <w:lang w:eastAsia="it-IT"/>
          </w:rPr>
          <w:t xml:space="preserve">art. 4 </w:t>
        </w:r>
        <w:proofErr w:type="spellStart"/>
        <w:r w:rsidRPr="004456AC">
          <w:rPr>
            <w:rFonts w:ascii="Verdana" w:eastAsia="Times New Roman" w:hAnsi="Verdana" w:cs="Times New Roman"/>
            <w:color w:val="004F8A"/>
            <w:sz w:val="18"/>
            <w:szCs w:val="18"/>
            <w:u w:val="single"/>
            <w:bdr w:val="none" w:sz="0" w:space="0" w:color="auto" w:frame="1"/>
            <w:lang w:eastAsia="it-IT"/>
          </w:rPr>
          <w:t>Cost</w:t>
        </w:r>
        <w:proofErr w:type="spellEnd"/>
        <w:r w:rsidRPr="004456AC">
          <w:rPr>
            <w:rFonts w:ascii="Verdana" w:eastAsia="Times New Roman" w:hAnsi="Verdana" w:cs="Times New Roman"/>
            <w:color w:val="004F8A"/>
            <w:sz w:val="18"/>
            <w:szCs w:val="18"/>
            <w:u w:val="single"/>
            <w:bdr w:val="none" w:sz="0" w:space="0" w:color="auto" w:frame="1"/>
            <w:lang w:eastAsia="it-IT"/>
          </w:rPr>
          <w:t>.</w:t>
        </w:r>
      </w:hyperlink>
      <w:r w:rsidRPr="004456AC">
        <w:rPr>
          <w:rFonts w:ascii="Verdana" w:eastAsia="Times New Roman" w:hAnsi="Verdana" w:cs="Times New Roman"/>
          <w:color w:val="272B33"/>
          <w:sz w:val="20"/>
          <w:szCs w:val="20"/>
          <w:lang w:eastAsia="it-IT"/>
        </w:rPr>
        <w:t>) e il suo diritto, </w:t>
      </w:r>
      <w:hyperlink r:id="rId18" w:history="1">
        <w:r w:rsidRPr="004456AC">
          <w:rPr>
            <w:rFonts w:ascii="Verdana" w:eastAsia="Times New Roman" w:hAnsi="Verdana" w:cs="Times New Roman"/>
            <w:color w:val="004F8A"/>
            <w:sz w:val="18"/>
            <w:szCs w:val="18"/>
            <w:u w:val="single"/>
            <w:bdr w:val="none" w:sz="0" w:space="0" w:color="auto" w:frame="1"/>
            <w:lang w:eastAsia="it-IT"/>
          </w:rPr>
          <w:t>ex art. 2087 c.c.</w:t>
        </w:r>
      </w:hyperlink>
      <w:r w:rsidRPr="004456AC">
        <w:rPr>
          <w:rFonts w:ascii="Verdana" w:eastAsia="Times New Roman" w:hAnsi="Verdana" w:cs="Times New Roman"/>
          <w:color w:val="272B33"/>
          <w:sz w:val="20"/>
          <w:szCs w:val="20"/>
          <w:lang w:eastAsia="it-IT"/>
        </w:rPr>
        <w:t xml:space="preserve">, alla salvaguardia dell'integrità </w:t>
      </w:r>
      <w:proofErr w:type="spellStart"/>
      <w:r w:rsidRPr="004456AC">
        <w:rPr>
          <w:rFonts w:ascii="Verdana" w:eastAsia="Times New Roman" w:hAnsi="Verdana" w:cs="Times New Roman"/>
          <w:color w:val="272B33"/>
          <w:sz w:val="20"/>
          <w:szCs w:val="20"/>
          <w:lang w:eastAsia="it-IT"/>
        </w:rPr>
        <w:t>psico</w:t>
      </w:r>
      <w:proofErr w:type="spellEnd"/>
      <w:r w:rsidRPr="004456AC">
        <w:rPr>
          <w:rFonts w:ascii="Verdana" w:eastAsia="Times New Roman" w:hAnsi="Verdana" w:cs="Times New Roman"/>
          <w:color w:val="272B33"/>
          <w:sz w:val="20"/>
          <w:szCs w:val="20"/>
          <w:lang w:eastAsia="it-IT"/>
        </w:rPr>
        <w:t>/fisica. Si insiste, infine, sull'onere, gravante sull'azienda, di dimostrare l'impossibilità di riutilizzo del lavoratore in altre mansioni, prima in quelle ritenute equivalenti </w:t>
      </w:r>
      <w:hyperlink r:id="rId19" w:history="1">
        <w:r w:rsidRPr="004456AC">
          <w:rPr>
            <w:rFonts w:ascii="Verdana" w:eastAsia="Times New Roman" w:hAnsi="Verdana" w:cs="Times New Roman"/>
            <w:color w:val="004F8A"/>
            <w:sz w:val="18"/>
            <w:szCs w:val="18"/>
            <w:u w:val="single"/>
            <w:bdr w:val="none" w:sz="0" w:space="0" w:color="auto" w:frame="1"/>
            <w:lang w:eastAsia="it-IT"/>
          </w:rPr>
          <w:t>ex art. 2103 c.c.</w:t>
        </w:r>
      </w:hyperlink>
      <w:r w:rsidRPr="004456AC">
        <w:rPr>
          <w:rFonts w:ascii="Verdana" w:eastAsia="Times New Roman" w:hAnsi="Verdana" w:cs="Times New Roman"/>
          <w:color w:val="272B33"/>
          <w:sz w:val="20"/>
          <w:szCs w:val="20"/>
          <w:lang w:eastAsia="it-IT"/>
        </w:rPr>
        <w:t> e successivamente in mansioni inferiori, ma suscettibili di salvaguardare il bene occupazione, a meno che ciò non comporti aggravi organizzativi.</w:t>
      </w:r>
    </w:p>
    <w:p w:rsidR="004456AC" w:rsidRPr="004456AC" w:rsidRDefault="004456AC" w:rsidP="004456AC">
      <w:pPr>
        <w:shd w:val="clear" w:color="auto" w:fill="FFFFFF"/>
        <w:spacing w:after="0" w:line="330" w:lineRule="atLeast"/>
        <w:ind w:right="300"/>
        <w:jc w:val="both"/>
        <w:textAlignment w:val="baseline"/>
        <w:rPr>
          <w:rFonts w:ascii="Verdana" w:eastAsia="Times New Roman" w:hAnsi="Verdana" w:cs="Times New Roman"/>
          <w:color w:val="272B33"/>
          <w:sz w:val="20"/>
          <w:szCs w:val="20"/>
          <w:lang w:eastAsia="it-IT"/>
        </w:rPr>
      </w:pPr>
      <w:r w:rsidRPr="004456AC">
        <w:rPr>
          <w:rFonts w:ascii="Verdana" w:eastAsia="Times New Roman" w:hAnsi="Verdana" w:cs="Times New Roman"/>
          <w:color w:val="272B33"/>
          <w:sz w:val="20"/>
          <w:szCs w:val="20"/>
          <w:lang w:eastAsia="it-IT"/>
        </w:rPr>
        <w:t>4. con riguardo al caso specifico, si sostiene che nessun aggravio per il datore sarebbe conseguito ad una diversa ripartizione delle mansioni svolte dai suoi dipendenti, con la variante dell'adibizione esclusiva alla pompa self del L. all'interno del "gabbiotto" già esistente, funzionale alla tutela del suo precario stato di salute.</w:t>
      </w:r>
    </w:p>
    <w:p w:rsidR="004456AC" w:rsidRPr="004456AC" w:rsidRDefault="004456AC" w:rsidP="004456AC">
      <w:pPr>
        <w:shd w:val="clear" w:color="auto" w:fill="FFFFFF"/>
        <w:spacing w:after="0" w:line="330" w:lineRule="atLeast"/>
        <w:ind w:right="300"/>
        <w:jc w:val="both"/>
        <w:textAlignment w:val="baseline"/>
        <w:rPr>
          <w:rFonts w:ascii="Verdana" w:eastAsia="Times New Roman" w:hAnsi="Verdana" w:cs="Times New Roman"/>
          <w:color w:val="272B33"/>
          <w:sz w:val="20"/>
          <w:szCs w:val="20"/>
          <w:lang w:eastAsia="it-IT"/>
        </w:rPr>
      </w:pPr>
      <w:r w:rsidRPr="004456AC">
        <w:rPr>
          <w:rFonts w:ascii="Verdana" w:eastAsia="Times New Roman" w:hAnsi="Verdana" w:cs="Times New Roman"/>
          <w:color w:val="272B33"/>
          <w:sz w:val="20"/>
          <w:szCs w:val="20"/>
          <w:lang w:eastAsia="it-IT"/>
        </w:rPr>
        <w:t>5. Il ricorso è infondato.</w:t>
      </w:r>
    </w:p>
    <w:p w:rsidR="004456AC" w:rsidRPr="004456AC" w:rsidRDefault="004456AC" w:rsidP="004456AC">
      <w:pPr>
        <w:shd w:val="clear" w:color="auto" w:fill="FFFFFF"/>
        <w:spacing w:after="0" w:line="330" w:lineRule="atLeast"/>
        <w:ind w:right="300"/>
        <w:jc w:val="both"/>
        <w:textAlignment w:val="baseline"/>
        <w:rPr>
          <w:rFonts w:ascii="Verdana" w:eastAsia="Times New Roman" w:hAnsi="Verdana" w:cs="Times New Roman"/>
          <w:color w:val="272B33"/>
          <w:sz w:val="20"/>
          <w:szCs w:val="20"/>
          <w:lang w:eastAsia="it-IT"/>
        </w:rPr>
      </w:pPr>
      <w:r w:rsidRPr="004456AC">
        <w:rPr>
          <w:rFonts w:ascii="Verdana" w:eastAsia="Times New Roman" w:hAnsi="Verdana" w:cs="Times New Roman"/>
          <w:color w:val="272B33"/>
          <w:sz w:val="20"/>
          <w:szCs w:val="20"/>
          <w:lang w:eastAsia="it-IT"/>
        </w:rPr>
        <w:t>6. E' stato affermato che "In caso di sopravvenuta infermità permanente del lavoratore, non si realizza un'impossibilità della prestazione lavorativa quale giustificato motivo oggettivo di recesso del datore di lavoro dal contratto di lavoro subordinato (</w:t>
      </w:r>
      <w:hyperlink r:id="rId20" w:history="1">
        <w:r w:rsidRPr="004456AC">
          <w:rPr>
            <w:rFonts w:ascii="Verdana" w:eastAsia="Times New Roman" w:hAnsi="Verdana" w:cs="Times New Roman"/>
            <w:color w:val="004F8A"/>
            <w:sz w:val="18"/>
            <w:szCs w:val="18"/>
            <w:u w:val="single"/>
            <w:bdr w:val="none" w:sz="0" w:space="0" w:color="auto" w:frame="1"/>
            <w:lang w:eastAsia="it-IT"/>
          </w:rPr>
          <w:t>L. n. 604 del 1966, artt. 1</w:t>
        </w:r>
      </w:hyperlink>
      <w:r w:rsidRPr="004456AC">
        <w:rPr>
          <w:rFonts w:ascii="Verdana" w:eastAsia="Times New Roman" w:hAnsi="Verdana" w:cs="Times New Roman"/>
          <w:color w:val="272B33"/>
          <w:sz w:val="20"/>
          <w:szCs w:val="20"/>
          <w:lang w:eastAsia="it-IT"/>
        </w:rPr>
        <w:t> e 3 e artt. </w:t>
      </w:r>
      <w:hyperlink r:id="rId21" w:history="1">
        <w:r w:rsidRPr="004456AC">
          <w:rPr>
            <w:rFonts w:ascii="Verdana" w:eastAsia="Times New Roman" w:hAnsi="Verdana" w:cs="Times New Roman"/>
            <w:color w:val="004F8A"/>
            <w:sz w:val="18"/>
            <w:szCs w:val="18"/>
            <w:u w:val="single"/>
            <w:bdr w:val="none" w:sz="0" w:space="0" w:color="auto" w:frame="1"/>
            <w:lang w:eastAsia="it-IT"/>
          </w:rPr>
          <w:t>1463</w:t>
        </w:r>
      </w:hyperlink>
      <w:r w:rsidRPr="004456AC">
        <w:rPr>
          <w:rFonts w:ascii="Verdana" w:eastAsia="Times New Roman" w:hAnsi="Verdana" w:cs="Times New Roman"/>
          <w:color w:val="272B33"/>
          <w:sz w:val="20"/>
          <w:szCs w:val="20"/>
          <w:lang w:eastAsia="it-IT"/>
        </w:rPr>
        <w:t> e </w:t>
      </w:r>
      <w:hyperlink r:id="rId22" w:history="1">
        <w:r w:rsidRPr="004456AC">
          <w:rPr>
            <w:rFonts w:ascii="Verdana" w:eastAsia="Times New Roman" w:hAnsi="Verdana" w:cs="Times New Roman"/>
            <w:color w:val="004F8A"/>
            <w:sz w:val="18"/>
            <w:szCs w:val="18"/>
            <w:u w:val="single"/>
            <w:bdr w:val="none" w:sz="0" w:space="0" w:color="auto" w:frame="1"/>
            <w:lang w:eastAsia="it-IT"/>
          </w:rPr>
          <w:t>1464 c.c.</w:t>
        </w:r>
      </w:hyperlink>
      <w:r w:rsidRPr="004456AC">
        <w:rPr>
          <w:rFonts w:ascii="Verdana" w:eastAsia="Times New Roman" w:hAnsi="Verdana" w:cs="Times New Roman"/>
          <w:color w:val="272B33"/>
          <w:sz w:val="20"/>
          <w:szCs w:val="20"/>
          <w:lang w:eastAsia="it-IT"/>
        </w:rPr>
        <w:t xml:space="preserve">) qualora il lavoratore possa essere adibito a mansioni equivalenti o, se impossibile, anche a mansioni inferiori, </w:t>
      </w:r>
      <w:proofErr w:type="spellStart"/>
      <w:r w:rsidRPr="004456AC">
        <w:rPr>
          <w:rFonts w:ascii="Verdana" w:eastAsia="Times New Roman" w:hAnsi="Verdana" w:cs="Times New Roman"/>
          <w:color w:val="272B33"/>
          <w:sz w:val="20"/>
          <w:szCs w:val="20"/>
          <w:lang w:eastAsia="it-IT"/>
        </w:rPr>
        <w:t>purchè</w:t>
      </w:r>
      <w:proofErr w:type="spellEnd"/>
      <w:r w:rsidRPr="004456AC">
        <w:rPr>
          <w:rFonts w:ascii="Verdana" w:eastAsia="Times New Roman" w:hAnsi="Verdana" w:cs="Times New Roman"/>
          <w:color w:val="272B33"/>
          <w:sz w:val="20"/>
          <w:szCs w:val="20"/>
          <w:lang w:eastAsia="it-IT"/>
        </w:rPr>
        <w:t xml:space="preserve"> da un lato tale diversa attività sia utilizzabile nell'impresa, secondo l'assetto organizzativo insindacabilmente stabilito dall'imprenditore, e dall'altro, l'adeguamento sia sorretto dal consenso, </w:t>
      </w:r>
      <w:proofErr w:type="spellStart"/>
      <w:r w:rsidRPr="004456AC">
        <w:rPr>
          <w:rFonts w:ascii="Verdana" w:eastAsia="Times New Roman" w:hAnsi="Verdana" w:cs="Times New Roman"/>
          <w:color w:val="272B33"/>
          <w:sz w:val="20"/>
          <w:szCs w:val="20"/>
          <w:lang w:eastAsia="it-IT"/>
        </w:rPr>
        <w:t>nonchè</w:t>
      </w:r>
      <w:proofErr w:type="spellEnd"/>
      <w:r w:rsidRPr="004456AC">
        <w:rPr>
          <w:rFonts w:ascii="Verdana" w:eastAsia="Times New Roman" w:hAnsi="Verdana" w:cs="Times New Roman"/>
          <w:color w:val="272B33"/>
          <w:sz w:val="20"/>
          <w:szCs w:val="20"/>
          <w:lang w:eastAsia="it-IT"/>
        </w:rPr>
        <w:t xml:space="preserve"> dall'interesse dello stesso lavoratore" a ciò conseguendo che, "nel caso in cui il lavoratore abbia manifestato, sia pur senza forme rituali, il suo consenso a svolgere mansioni inferiori, il datore di lavoro è tenuto a giustificare l'eventuale recesso, considerato che egli non è tenuto ad adottare particolari misure tecniche per porsi in condizione di cooperare all'accettazione della prestazione lavorativa di soggetti affetti da infermità, che vada oltre il dovere di sicurezza imposto dalla legge" (cfr. </w:t>
      </w:r>
      <w:hyperlink r:id="rId23" w:history="1">
        <w:r w:rsidRPr="004456AC">
          <w:rPr>
            <w:rFonts w:ascii="Verdana" w:eastAsia="Times New Roman" w:hAnsi="Verdana" w:cs="Times New Roman"/>
            <w:color w:val="004F8A"/>
            <w:sz w:val="18"/>
            <w:szCs w:val="18"/>
            <w:u w:val="single"/>
            <w:bdr w:val="none" w:sz="0" w:space="0" w:color="auto" w:frame="1"/>
            <w:lang w:eastAsia="it-IT"/>
          </w:rPr>
          <w:t>Cass. 2.7.2009 n. 15500</w:t>
        </w:r>
      </w:hyperlink>
      <w:r w:rsidRPr="004456AC">
        <w:rPr>
          <w:rFonts w:ascii="Verdana" w:eastAsia="Times New Roman" w:hAnsi="Verdana" w:cs="Times New Roman"/>
          <w:color w:val="272B33"/>
          <w:sz w:val="20"/>
          <w:szCs w:val="20"/>
          <w:lang w:eastAsia="it-IT"/>
        </w:rPr>
        <w:t>, </w:t>
      </w:r>
      <w:hyperlink r:id="rId24" w:history="1">
        <w:r w:rsidRPr="004456AC">
          <w:rPr>
            <w:rFonts w:ascii="Verdana" w:eastAsia="Times New Roman" w:hAnsi="Verdana" w:cs="Times New Roman"/>
            <w:color w:val="004F8A"/>
            <w:sz w:val="18"/>
            <w:szCs w:val="18"/>
            <w:u w:val="single"/>
            <w:bdr w:val="none" w:sz="0" w:space="0" w:color="auto" w:frame="1"/>
            <w:lang w:eastAsia="it-IT"/>
          </w:rPr>
          <w:t>Cass. 13.10.2009 n. 21710</w:t>
        </w:r>
      </w:hyperlink>
      <w:r w:rsidRPr="004456AC">
        <w:rPr>
          <w:rFonts w:ascii="Verdana" w:eastAsia="Times New Roman" w:hAnsi="Verdana" w:cs="Times New Roman"/>
          <w:color w:val="272B33"/>
          <w:sz w:val="20"/>
          <w:szCs w:val="20"/>
          <w:lang w:eastAsia="it-IT"/>
        </w:rPr>
        <w:t>).</w:t>
      </w:r>
    </w:p>
    <w:p w:rsidR="004456AC" w:rsidRPr="004456AC" w:rsidRDefault="004456AC" w:rsidP="004456AC">
      <w:pPr>
        <w:shd w:val="clear" w:color="auto" w:fill="FFFFFF"/>
        <w:spacing w:after="0" w:line="330" w:lineRule="atLeast"/>
        <w:ind w:right="300"/>
        <w:jc w:val="both"/>
        <w:textAlignment w:val="baseline"/>
        <w:rPr>
          <w:rFonts w:ascii="Verdana" w:eastAsia="Times New Roman" w:hAnsi="Verdana" w:cs="Times New Roman"/>
          <w:color w:val="272B33"/>
          <w:sz w:val="20"/>
          <w:szCs w:val="20"/>
          <w:lang w:eastAsia="it-IT"/>
        </w:rPr>
      </w:pPr>
      <w:r w:rsidRPr="004456AC">
        <w:rPr>
          <w:rFonts w:ascii="Verdana" w:eastAsia="Times New Roman" w:hAnsi="Verdana" w:cs="Times New Roman"/>
          <w:color w:val="272B33"/>
          <w:sz w:val="20"/>
          <w:szCs w:val="20"/>
          <w:lang w:eastAsia="it-IT"/>
        </w:rPr>
        <w:t xml:space="preserve">7. Va premesso che, in discontinuità con precedente orientamento giurisprudenziale, secondo cui, in tema di inidoneità fisica al lavoro, l'impossibilità di utilizzazione del lavoratore in </w:t>
      </w:r>
      <w:r w:rsidRPr="004456AC">
        <w:rPr>
          <w:rFonts w:ascii="Verdana" w:eastAsia="Times New Roman" w:hAnsi="Verdana" w:cs="Times New Roman"/>
          <w:color w:val="272B33"/>
          <w:sz w:val="20"/>
          <w:szCs w:val="20"/>
          <w:lang w:eastAsia="it-IT"/>
        </w:rPr>
        <w:lastRenderedPageBreak/>
        <w:t>ambiente compatibile con il suo stato di salute deve essere provata dal datore di lavoro, sul quale incombe anche l'onere di contrastare eventuali allegazioni del prestatore di lavoro, nei cui confronti è esigibile una collaborazione nell'accertamento di un possibile "</w:t>
      </w:r>
      <w:proofErr w:type="spellStart"/>
      <w:r w:rsidRPr="004456AC">
        <w:rPr>
          <w:rFonts w:ascii="Verdana" w:eastAsia="Times New Roman" w:hAnsi="Verdana" w:cs="Times New Roman"/>
          <w:color w:val="272B33"/>
          <w:sz w:val="20"/>
          <w:szCs w:val="20"/>
          <w:lang w:eastAsia="it-IT"/>
        </w:rPr>
        <w:t>repechage</w:t>
      </w:r>
      <w:proofErr w:type="spellEnd"/>
      <w:r w:rsidRPr="004456AC">
        <w:rPr>
          <w:rFonts w:ascii="Verdana" w:eastAsia="Times New Roman" w:hAnsi="Verdana" w:cs="Times New Roman"/>
          <w:color w:val="272B33"/>
          <w:sz w:val="20"/>
          <w:szCs w:val="20"/>
          <w:lang w:eastAsia="it-IT"/>
        </w:rPr>
        <w:t xml:space="preserve">" in ordine all'esistenza di altri posti di lavoro nei quali possa essere utilmente ricollocato (v., ex </w:t>
      </w:r>
      <w:proofErr w:type="spellStart"/>
      <w:r w:rsidRPr="004456AC">
        <w:rPr>
          <w:rFonts w:ascii="Verdana" w:eastAsia="Times New Roman" w:hAnsi="Verdana" w:cs="Times New Roman"/>
          <w:color w:val="272B33"/>
          <w:sz w:val="20"/>
          <w:szCs w:val="20"/>
          <w:lang w:eastAsia="it-IT"/>
        </w:rPr>
        <w:t>aliis</w:t>
      </w:r>
      <w:proofErr w:type="spellEnd"/>
      <w:r w:rsidRPr="004456AC">
        <w:rPr>
          <w:rFonts w:ascii="Verdana" w:eastAsia="Times New Roman" w:hAnsi="Verdana" w:cs="Times New Roman"/>
          <w:color w:val="272B33"/>
          <w:sz w:val="20"/>
          <w:szCs w:val="20"/>
          <w:lang w:eastAsia="it-IT"/>
        </w:rPr>
        <w:t>, </w:t>
      </w:r>
      <w:hyperlink r:id="rId25" w:history="1">
        <w:r w:rsidRPr="004456AC">
          <w:rPr>
            <w:rFonts w:ascii="Verdana" w:eastAsia="Times New Roman" w:hAnsi="Verdana" w:cs="Times New Roman"/>
            <w:color w:val="004F8A"/>
            <w:sz w:val="18"/>
            <w:szCs w:val="18"/>
            <w:u w:val="single"/>
            <w:bdr w:val="none" w:sz="0" w:space="0" w:color="auto" w:frame="1"/>
            <w:lang w:eastAsia="it-IT"/>
          </w:rPr>
          <w:t>Cass. 3.3.2014 n. 4920</w:t>
        </w:r>
      </w:hyperlink>
      <w:r w:rsidRPr="004456AC">
        <w:rPr>
          <w:rFonts w:ascii="Verdana" w:eastAsia="Times New Roman" w:hAnsi="Verdana" w:cs="Times New Roman"/>
          <w:color w:val="272B33"/>
          <w:sz w:val="20"/>
          <w:szCs w:val="20"/>
          <w:lang w:eastAsia="it-IT"/>
        </w:rPr>
        <w:t>, </w:t>
      </w:r>
      <w:hyperlink r:id="rId26" w:history="1">
        <w:r w:rsidRPr="004456AC">
          <w:rPr>
            <w:rFonts w:ascii="Verdana" w:eastAsia="Times New Roman" w:hAnsi="Verdana" w:cs="Times New Roman"/>
            <w:color w:val="004F8A"/>
            <w:sz w:val="18"/>
            <w:szCs w:val="18"/>
            <w:u w:val="single"/>
            <w:bdr w:val="none" w:sz="0" w:space="0" w:color="auto" w:frame="1"/>
            <w:lang w:eastAsia="it-IT"/>
          </w:rPr>
          <w:t>Cass. 8.11.2013 n. 25197</w:t>
        </w:r>
      </w:hyperlink>
      <w:r w:rsidRPr="004456AC">
        <w:rPr>
          <w:rFonts w:ascii="Verdana" w:eastAsia="Times New Roman" w:hAnsi="Verdana" w:cs="Times New Roman"/>
          <w:color w:val="272B33"/>
          <w:sz w:val="20"/>
          <w:szCs w:val="20"/>
          <w:lang w:eastAsia="it-IT"/>
        </w:rPr>
        <w:t>, </w:t>
      </w:r>
      <w:hyperlink r:id="rId27" w:history="1">
        <w:r w:rsidRPr="004456AC">
          <w:rPr>
            <w:rFonts w:ascii="Verdana" w:eastAsia="Times New Roman" w:hAnsi="Verdana" w:cs="Times New Roman"/>
            <w:color w:val="004F8A"/>
            <w:sz w:val="18"/>
            <w:szCs w:val="18"/>
            <w:u w:val="single"/>
            <w:bdr w:val="none" w:sz="0" w:space="0" w:color="auto" w:frame="1"/>
            <w:lang w:eastAsia="it-IT"/>
          </w:rPr>
          <w:t>Cass. 8.2.2011 n. 3040</w:t>
        </w:r>
      </w:hyperlink>
      <w:r w:rsidRPr="004456AC">
        <w:rPr>
          <w:rFonts w:ascii="Verdana" w:eastAsia="Times New Roman" w:hAnsi="Verdana" w:cs="Times New Roman"/>
          <w:color w:val="272B33"/>
          <w:sz w:val="20"/>
          <w:szCs w:val="20"/>
          <w:lang w:eastAsia="it-IT"/>
        </w:rPr>
        <w:t>e, da ultimo, anche </w:t>
      </w:r>
      <w:hyperlink r:id="rId28" w:history="1">
        <w:r w:rsidRPr="004456AC">
          <w:rPr>
            <w:rFonts w:ascii="Verdana" w:eastAsia="Times New Roman" w:hAnsi="Verdana" w:cs="Times New Roman"/>
            <w:color w:val="004F8A"/>
            <w:sz w:val="18"/>
            <w:szCs w:val="18"/>
            <w:u w:val="single"/>
            <w:bdr w:val="none" w:sz="0" w:space="0" w:color="auto" w:frame="1"/>
            <w:lang w:eastAsia="it-IT"/>
          </w:rPr>
          <w:t>Cass. 16.5.2016 n. 10018</w:t>
        </w:r>
      </w:hyperlink>
      <w:r w:rsidRPr="004456AC">
        <w:rPr>
          <w:rFonts w:ascii="Verdana" w:eastAsia="Times New Roman" w:hAnsi="Verdana" w:cs="Times New Roman"/>
          <w:color w:val="272B33"/>
          <w:sz w:val="20"/>
          <w:szCs w:val="20"/>
          <w:lang w:eastAsia="it-IT"/>
        </w:rPr>
        <w:t>) si pongono le decisioni assunte da </w:t>
      </w:r>
      <w:hyperlink r:id="rId29" w:history="1">
        <w:r w:rsidRPr="004456AC">
          <w:rPr>
            <w:rFonts w:ascii="Verdana" w:eastAsia="Times New Roman" w:hAnsi="Verdana" w:cs="Times New Roman"/>
            <w:color w:val="004F8A"/>
            <w:sz w:val="18"/>
            <w:szCs w:val="18"/>
            <w:u w:val="single"/>
            <w:bdr w:val="none" w:sz="0" w:space="0" w:color="auto" w:frame="1"/>
            <w:lang w:eastAsia="it-IT"/>
          </w:rPr>
          <w:t>Cass. 22.3. 2016, n. 5592</w:t>
        </w:r>
      </w:hyperlink>
      <w:r w:rsidRPr="004456AC">
        <w:rPr>
          <w:rFonts w:ascii="Verdana" w:eastAsia="Times New Roman" w:hAnsi="Verdana" w:cs="Times New Roman"/>
          <w:color w:val="272B33"/>
          <w:sz w:val="20"/>
          <w:szCs w:val="20"/>
          <w:lang w:eastAsia="it-IT"/>
        </w:rPr>
        <w:t>, da </w:t>
      </w:r>
      <w:hyperlink r:id="rId30" w:history="1">
        <w:r w:rsidRPr="004456AC">
          <w:rPr>
            <w:rFonts w:ascii="Verdana" w:eastAsia="Times New Roman" w:hAnsi="Verdana" w:cs="Times New Roman"/>
            <w:color w:val="004F8A"/>
            <w:sz w:val="18"/>
            <w:szCs w:val="18"/>
            <w:u w:val="single"/>
            <w:bdr w:val="none" w:sz="0" w:space="0" w:color="auto" w:frame="1"/>
            <w:lang w:eastAsia="it-IT"/>
          </w:rPr>
          <w:t>Cass. 13.6.2016 n. 12101</w:t>
        </w:r>
      </w:hyperlink>
      <w:r w:rsidRPr="004456AC">
        <w:rPr>
          <w:rFonts w:ascii="Verdana" w:eastAsia="Times New Roman" w:hAnsi="Verdana" w:cs="Times New Roman"/>
          <w:color w:val="272B33"/>
          <w:sz w:val="20"/>
          <w:szCs w:val="20"/>
          <w:lang w:eastAsia="it-IT"/>
        </w:rPr>
        <w:t>, </w:t>
      </w:r>
      <w:hyperlink r:id="rId31" w:history="1">
        <w:r w:rsidRPr="004456AC">
          <w:rPr>
            <w:rFonts w:ascii="Verdana" w:eastAsia="Times New Roman" w:hAnsi="Verdana" w:cs="Times New Roman"/>
            <w:color w:val="004F8A"/>
            <w:sz w:val="18"/>
            <w:szCs w:val="18"/>
            <w:u w:val="single"/>
            <w:bdr w:val="none" w:sz="0" w:space="0" w:color="auto" w:frame="1"/>
            <w:lang w:eastAsia="it-IT"/>
          </w:rPr>
          <w:t>Cass. 5.1.2017 n. 160</w:t>
        </w:r>
      </w:hyperlink>
      <w:r w:rsidRPr="004456AC">
        <w:rPr>
          <w:rFonts w:ascii="Verdana" w:eastAsia="Times New Roman" w:hAnsi="Verdana" w:cs="Times New Roman"/>
          <w:color w:val="272B33"/>
          <w:sz w:val="20"/>
          <w:szCs w:val="20"/>
          <w:lang w:eastAsia="it-IT"/>
        </w:rPr>
        <w:t>, secondo cui "esigere che sia il lavoratore licenziato a spiegare dove e come potrebbe essere ricollocato all'interno dell'azienda significa, se non invertire sostanzialmente l'onere della prova (che - invece - la </w:t>
      </w:r>
      <w:hyperlink r:id="rId32" w:history="1">
        <w:r w:rsidRPr="004456AC">
          <w:rPr>
            <w:rFonts w:ascii="Verdana" w:eastAsia="Times New Roman" w:hAnsi="Verdana" w:cs="Times New Roman"/>
            <w:color w:val="004F8A"/>
            <w:sz w:val="18"/>
            <w:szCs w:val="18"/>
            <w:u w:val="single"/>
            <w:bdr w:val="none" w:sz="0" w:space="0" w:color="auto" w:frame="1"/>
            <w:lang w:eastAsia="it-IT"/>
          </w:rPr>
          <w:t>L. n. 604 del 1966, art. 5,</w:t>
        </w:r>
      </w:hyperlink>
      <w:r w:rsidRPr="004456AC">
        <w:rPr>
          <w:rFonts w:ascii="Verdana" w:eastAsia="Times New Roman" w:hAnsi="Verdana" w:cs="Times New Roman"/>
          <w:color w:val="272B33"/>
          <w:sz w:val="20"/>
          <w:szCs w:val="20"/>
          <w:lang w:eastAsia="it-IT"/>
        </w:rPr>
        <w:t> pone inequivocabilmente a carico del datore di lavoro), quanto meno divaricare fra loro onere di allegazione e onere probatorio, nel senso di addossare il primo ad una delle parti in lite e il secondo all'altra", in contrasto con i principi di diritto processuale secondo cui "onere di allegazione e onere probatorio non possono che incombere sulla medesima parte, nel senso che chi ha l'onere di provare un fatto primario (costitutivo del diritto azionato o impeditivo, modificativo od estintivo dello stesso) ha altresì l'onere della relativa compiuta allegazione".</w:t>
      </w:r>
    </w:p>
    <w:p w:rsidR="004456AC" w:rsidRPr="004456AC" w:rsidRDefault="004456AC" w:rsidP="004456AC">
      <w:pPr>
        <w:shd w:val="clear" w:color="auto" w:fill="FFFFFF"/>
        <w:spacing w:after="0" w:line="330" w:lineRule="atLeast"/>
        <w:ind w:right="300"/>
        <w:jc w:val="both"/>
        <w:textAlignment w:val="baseline"/>
        <w:rPr>
          <w:rFonts w:ascii="Verdana" w:eastAsia="Times New Roman" w:hAnsi="Verdana" w:cs="Times New Roman"/>
          <w:color w:val="272B33"/>
          <w:sz w:val="20"/>
          <w:szCs w:val="20"/>
          <w:lang w:eastAsia="it-IT"/>
        </w:rPr>
      </w:pPr>
      <w:r w:rsidRPr="004456AC">
        <w:rPr>
          <w:rFonts w:ascii="Verdana" w:eastAsia="Times New Roman" w:hAnsi="Verdana" w:cs="Times New Roman"/>
          <w:color w:val="272B33"/>
          <w:sz w:val="20"/>
          <w:szCs w:val="20"/>
          <w:lang w:eastAsia="it-IT"/>
        </w:rPr>
        <w:t xml:space="preserve">8. Al di là della valutazione della astratta validità dei principi appena richiamati, è pacifico, tuttavia, che nella specie l'iter argomentativo seguito dal giudice del gravame si è sviluppato coerentemente a condivisi principi di interpretazione secondo buona fede del contratto, che </w:t>
      </w:r>
      <w:bookmarkStart w:id="0" w:name="_GoBack"/>
      <w:r w:rsidRPr="004456AC">
        <w:rPr>
          <w:rFonts w:ascii="Verdana" w:eastAsia="Times New Roman" w:hAnsi="Verdana" w:cs="Times New Roman"/>
          <w:color w:val="272B33"/>
          <w:sz w:val="20"/>
          <w:szCs w:val="20"/>
          <w:lang w:eastAsia="it-IT"/>
        </w:rPr>
        <w:t xml:space="preserve">impongono di valutare il recesso datoriale alla luce di canoni </w:t>
      </w:r>
      <w:proofErr w:type="spellStart"/>
      <w:r w:rsidRPr="004456AC">
        <w:rPr>
          <w:rFonts w:ascii="Verdana" w:eastAsia="Times New Roman" w:hAnsi="Verdana" w:cs="Times New Roman"/>
          <w:color w:val="272B33"/>
          <w:sz w:val="20"/>
          <w:szCs w:val="20"/>
          <w:lang w:eastAsia="it-IT"/>
        </w:rPr>
        <w:t>intepretativi</w:t>
      </w:r>
      <w:proofErr w:type="spellEnd"/>
      <w:r w:rsidRPr="004456AC">
        <w:rPr>
          <w:rFonts w:ascii="Verdana" w:eastAsia="Times New Roman" w:hAnsi="Verdana" w:cs="Times New Roman"/>
          <w:color w:val="272B33"/>
          <w:sz w:val="20"/>
          <w:szCs w:val="20"/>
          <w:lang w:eastAsia="it-IT"/>
        </w:rPr>
        <w:t xml:space="preserve"> che valorizzano la possibilità di adibizione del lavoratore inidoneo ad una diversa attività lavorativa riconducibile alle mansioni già assegnate o ad altre equivalenti, e subordinatamente anche inferiori, sempre che venga attribuito rilievo, nel bilanciamento degli interessi costituzionalmente protetti (</w:t>
      </w:r>
      <w:hyperlink r:id="rId33" w:history="1">
        <w:r w:rsidRPr="009A037E">
          <w:rPr>
            <w:rFonts w:ascii="Verdana" w:eastAsia="Times New Roman" w:hAnsi="Verdana" w:cs="Times New Roman"/>
            <w:color w:val="004F8A"/>
            <w:sz w:val="18"/>
            <w:szCs w:val="18"/>
            <w:u w:val="single"/>
            <w:bdr w:val="none" w:sz="0" w:space="0" w:color="auto" w:frame="1"/>
            <w:lang w:eastAsia="it-IT"/>
          </w:rPr>
          <w:t xml:space="preserve">art 4 </w:t>
        </w:r>
        <w:proofErr w:type="spellStart"/>
        <w:r w:rsidRPr="009A037E">
          <w:rPr>
            <w:rFonts w:ascii="Verdana" w:eastAsia="Times New Roman" w:hAnsi="Verdana" w:cs="Times New Roman"/>
            <w:color w:val="004F8A"/>
            <w:sz w:val="18"/>
            <w:szCs w:val="18"/>
            <w:u w:val="single"/>
            <w:bdr w:val="none" w:sz="0" w:space="0" w:color="auto" w:frame="1"/>
            <w:lang w:eastAsia="it-IT"/>
          </w:rPr>
          <w:t>Cost</w:t>
        </w:r>
        <w:proofErr w:type="spellEnd"/>
        <w:r w:rsidRPr="009A037E">
          <w:rPr>
            <w:rFonts w:ascii="Verdana" w:eastAsia="Times New Roman" w:hAnsi="Verdana" w:cs="Times New Roman"/>
            <w:color w:val="004F8A"/>
            <w:sz w:val="18"/>
            <w:szCs w:val="18"/>
            <w:u w:val="single"/>
            <w:bdr w:val="none" w:sz="0" w:space="0" w:color="auto" w:frame="1"/>
            <w:lang w:eastAsia="it-IT"/>
          </w:rPr>
          <w:t>.</w:t>
        </w:r>
      </w:hyperlink>
      <w:r w:rsidRPr="004456AC">
        <w:rPr>
          <w:rFonts w:ascii="Verdana" w:eastAsia="Times New Roman" w:hAnsi="Verdana" w:cs="Times New Roman"/>
          <w:color w:val="272B33"/>
          <w:sz w:val="20"/>
          <w:szCs w:val="20"/>
          <w:lang w:eastAsia="it-IT"/>
        </w:rPr>
        <w:t> </w:t>
      </w:r>
      <w:proofErr w:type="gramStart"/>
      <w:r w:rsidRPr="004456AC">
        <w:rPr>
          <w:rFonts w:ascii="Verdana" w:eastAsia="Times New Roman" w:hAnsi="Verdana" w:cs="Times New Roman"/>
          <w:color w:val="272B33"/>
          <w:sz w:val="20"/>
          <w:szCs w:val="20"/>
          <w:lang w:eastAsia="it-IT"/>
        </w:rPr>
        <w:t>ed</w:t>
      </w:r>
      <w:proofErr w:type="gramEnd"/>
      <w:r w:rsidRPr="004456AC">
        <w:rPr>
          <w:rFonts w:ascii="Verdana" w:eastAsia="Times New Roman" w:hAnsi="Verdana" w:cs="Times New Roman"/>
          <w:color w:val="272B33"/>
          <w:sz w:val="20"/>
          <w:szCs w:val="20"/>
          <w:lang w:eastAsia="it-IT"/>
        </w:rPr>
        <w:t> </w:t>
      </w:r>
      <w:hyperlink r:id="rId34" w:history="1">
        <w:r w:rsidRPr="009A037E">
          <w:rPr>
            <w:rFonts w:ascii="Verdana" w:eastAsia="Times New Roman" w:hAnsi="Verdana" w:cs="Times New Roman"/>
            <w:color w:val="004F8A"/>
            <w:sz w:val="18"/>
            <w:szCs w:val="18"/>
            <w:u w:val="single"/>
            <w:bdr w:val="none" w:sz="0" w:space="0" w:color="auto" w:frame="1"/>
            <w:lang w:eastAsia="it-IT"/>
          </w:rPr>
          <w:t xml:space="preserve">art 41 </w:t>
        </w:r>
        <w:proofErr w:type="spellStart"/>
        <w:r w:rsidRPr="009A037E">
          <w:rPr>
            <w:rFonts w:ascii="Verdana" w:eastAsia="Times New Roman" w:hAnsi="Verdana" w:cs="Times New Roman"/>
            <w:color w:val="004F8A"/>
            <w:sz w:val="18"/>
            <w:szCs w:val="18"/>
            <w:u w:val="single"/>
            <w:bdr w:val="none" w:sz="0" w:space="0" w:color="auto" w:frame="1"/>
            <w:lang w:eastAsia="it-IT"/>
          </w:rPr>
          <w:t>Cost</w:t>
        </w:r>
        <w:proofErr w:type="spellEnd"/>
        <w:r w:rsidRPr="009A037E">
          <w:rPr>
            <w:rFonts w:ascii="Verdana" w:eastAsia="Times New Roman" w:hAnsi="Verdana" w:cs="Times New Roman"/>
            <w:color w:val="004F8A"/>
            <w:sz w:val="18"/>
            <w:szCs w:val="18"/>
            <w:u w:val="single"/>
            <w:bdr w:val="none" w:sz="0" w:space="0" w:color="auto" w:frame="1"/>
            <w:lang w:eastAsia="it-IT"/>
          </w:rPr>
          <w:t>.</w:t>
        </w:r>
      </w:hyperlink>
      <w:r w:rsidRPr="004456AC">
        <w:rPr>
          <w:rFonts w:ascii="Verdana" w:eastAsia="Times New Roman" w:hAnsi="Verdana" w:cs="Times New Roman"/>
          <w:color w:val="272B33"/>
          <w:sz w:val="20"/>
          <w:szCs w:val="20"/>
          <w:lang w:eastAsia="it-IT"/>
        </w:rPr>
        <w:t>), all'interesse del datore di lavoro ad una collocazione del lavoratore inidoneo che non incida nel senso di modificare le scelte organizzative con pregiudizio per gli altri lavoratori ed alterazione inammissibile della qualità dell'organigramma aziendale.</w:t>
      </w:r>
    </w:p>
    <w:bookmarkEnd w:id="0"/>
    <w:p w:rsidR="004456AC" w:rsidRPr="004456AC" w:rsidRDefault="004456AC" w:rsidP="004456AC">
      <w:pPr>
        <w:shd w:val="clear" w:color="auto" w:fill="FFFFFF"/>
        <w:spacing w:after="0" w:line="330" w:lineRule="atLeast"/>
        <w:ind w:right="300"/>
        <w:jc w:val="both"/>
        <w:textAlignment w:val="baseline"/>
        <w:rPr>
          <w:rFonts w:ascii="Verdana" w:eastAsia="Times New Roman" w:hAnsi="Verdana" w:cs="Times New Roman"/>
          <w:color w:val="272B33"/>
          <w:sz w:val="20"/>
          <w:szCs w:val="20"/>
          <w:lang w:eastAsia="it-IT"/>
        </w:rPr>
      </w:pPr>
      <w:r w:rsidRPr="004456AC">
        <w:rPr>
          <w:rFonts w:ascii="Verdana" w:eastAsia="Times New Roman" w:hAnsi="Verdana" w:cs="Times New Roman"/>
          <w:color w:val="272B33"/>
          <w:sz w:val="20"/>
          <w:szCs w:val="20"/>
          <w:lang w:eastAsia="it-IT"/>
        </w:rPr>
        <w:t>9. E' stato, invero, correttamente verificato l'assolvimento da parte del datore di lavoro del suo onere di allegazione e prova in base ai principi sanciti dalle sentenze da ultimo richiamate, conferendosi il dovuto risalto, con riferimento alla specificità della realtà organizzativa ove il lavoratore inidoneo si trovava a svolgere la propria attività di "pompista" presso il distributore di benzina, alla circostanza che non esisteva nella contrattazione collettiva un profilo avente ad oggetto le mansioni di "pompista self" (essendo ricompresi nel 6^ livello delle declaratorie contrattuali i pompisti specializzati e nel 4^ i pompisti), che dalla prova per testi era emerso che tutti i pompisti erano addetti, ove occorresse, all'assistenza alla pompa self, che, oltre ai pompisti, vi erano in azienda tre addetti al market, senza carenze di organico, non surrogabili nelle mansioni dei pompisti e viceversa, che non vi erano state assunzioni dopo il licenziamento, tranne due stagionali per due mesi nel periodo estivo e che, per il diminuire degli affari, erano stati licenziati almeno due pompisti nel 2012.</w:t>
      </w:r>
    </w:p>
    <w:p w:rsidR="004456AC" w:rsidRPr="004456AC" w:rsidRDefault="004456AC" w:rsidP="004456AC">
      <w:pPr>
        <w:shd w:val="clear" w:color="auto" w:fill="FFFFFF"/>
        <w:spacing w:after="0" w:line="330" w:lineRule="atLeast"/>
        <w:ind w:right="300"/>
        <w:jc w:val="both"/>
        <w:textAlignment w:val="baseline"/>
        <w:rPr>
          <w:rFonts w:ascii="Verdana" w:eastAsia="Times New Roman" w:hAnsi="Verdana" w:cs="Times New Roman"/>
          <w:color w:val="272B33"/>
          <w:sz w:val="20"/>
          <w:szCs w:val="20"/>
          <w:lang w:eastAsia="it-IT"/>
        </w:rPr>
      </w:pPr>
      <w:r w:rsidRPr="004456AC">
        <w:rPr>
          <w:rFonts w:ascii="Verdana" w:eastAsia="Times New Roman" w:hAnsi="Verdana" w:cs="Times New Roman"/>
          <w:color w:val="272B33"/>
          <w:sz w:val="20"/>
          <w:szCs w:val="20"/>
          <w:lang w:eastAsia="it-IT"/>
        </w:rPr>
        <w:t xml:space="preserve">10. Ciò rende ragione della coerenza della decisione con gli indicati principi, avendo la Corte territoriale posto in evidenza come la scelta di adibire il L. alla pompa self, che non rappresentava, per quanto detto, un profilo professionale autonomo, avrebbe realizzato un adempimento solo parziale della prestazione lavorativa pattuita, oggetto del contratto, e che non poteva ovviarsi all'esigenza sopravvenuta con una scelta diversa da quella adottata, esigendosi che il datore procedesse a spostamenti di altri dipendenti, modificando la tipologia </w:t>
      </w:r>
      <w:r w:rsidRPr="004456AC">
        <w:rPr>
          <w:rFonts w:ascii="Verdana" w:eastAsia="Times New Roman" w:hAnsi="Verdana" w:cs="Times New Roman"/>
          <w:color w:val="272B33"/>
          <w:sz w:val="20"/>
          <w:szCs w:val="20"/>
          <w:lang w:eastAsia="it-IT"/>
        </w:rPr>
        <w:lastRenderedPageBreak/>
        <w:t>delle loro mansioni - in cui era prevista un'alternatività di adibizione anche alla pompa self - con esposizione degli stessi a maggior rischio di salute e con alterazione inammissibile dell'organigramma aziendale.</w:t>
      </w:r>
    </w:p>
    <w:p w:rsidR="004456AC" w:rsidRPr="004456AC" w:rsidRDefault="004456AC" w:rsidP="004456AC">
      <w:pPr>
        <w:shd w:val="clear" w:color="auto" w:fill="FFFFFF"/>
        <w:spacing w:after="0" w:line="330" w:lineRule="atLeast"/>
        <w:ind w:right="300"/>
        <w:jc w:val="both"/>
        <w:textAlignment w:val="baseline"/>
        <w:rPr>
          <w:rFonts w:ascii="Verdana" w:eastAsia="Times New Roman" w:hAnsi="Verdana" w:cs="Times New Roman"/>
          <w:color w:val="272B33"/>
          <w:sz w:val="20"/>
          <w:szCs w:val="20"/>
          <w:lang w:eastAsia="it-IT"/>
        </w:rPr>
      </w:pPr>
      <w:r w:rsidRPr="004456AC">
        <w:rPr>
          <w:rFonts w:ascii="Verdana" w:eastAsia="Times New Roman" w:hAnsi="Verdana" w:cs="Times New Roman"/>
          <w:color w:val="272B33"/>
          <w:sz w:val="20"/>
          <w:szCs w:val="20"/>
          <w:lang w:eastAsia="it-IT"/>
        </w:rPr>
        <w:t xml:space="preserve">11. Neanche il richiamo del ricorrente alla istituzione delle aree comprendenti attività rientranti nello stesso livello impone una diversa prospettiva di valutazione, sia </w:t>
      </w:r>
      <w:proofErr w:type="spellStart"/>
      <w:r w:rsidRPr="004456AC">
        <w:rPr>
          <w:rFonts w:ascii="Verdana" w:eastAsia="Times New Roman" w:hAnsi="Verdana" w:cs="Times New Roman"/>
          <w:color w:val="272B33"/>
          <w:sz w:val="20"/>
          <w:szCs w:val="20"/>
          <w:lang w:eastAsia="it-IT"/>
        </w:rPr>
        <w:t>perchè</w:t>
      </w:r>
      <w:proofErr w:type="spellEnd"/>
      <w:r w:rsidRPr="004456AC">
        <w:rPr>
          <w:rFonts w:ascii="Verdana" w:eastAsia="Times New Roman" w:hAnsi="Verdana" w:cs="Times New Roman"/>
          <w:color w:val="272B33"/>
          <w:sz w:val="20"/>
          <w:szCs w:val="20"/>
          <w:lang w:eastAsia="it-IT"/>
        </w:rPr>
        <w:t xml:space="preserve"> l'argomento nuovo, sia </w:t>
      </w:r>
      <w:proofErr w:type="spellStart"/>
      <w:r w:rsidRPr="004456AC">
        <w:rPr>
          <w:rFonts w:ascii="Verdana" w:eastAsia="Times New Roman" w:hAnsi="Verdana" w:cs="Times New Roman"/>
          <w:color w:val="272B33"/>
          <w:sz w:val="20"/>
          <w:szCs w:val="20"/>
          <w:lang w:eastAsia="it-IT"/>
        </w:rPr>
        <w:t>perchè</w:t>
      </w:r>
      <w:proofErr w:type="spellEnd"/>
      <w:r w:rsidRPr="004456AC">
        <w:rPr>
          <w:rFonts w:ascii="Verdana" w:eastAsia="Times New Roman" w:hAnsi="Verdana" w:cs="Times New Roman"/>
          <w:color w:val="272B33"/>
          <w:sz w:val="20"/>
          <w:szCs w:val="20"/>
          <w:lang w:eastAsia="it-IT"/>
        </w:rPr>
        <w:t xml:space="preserve"> ciò incide sulla parità retributiva, ma non comporta una confusione delle singole professionalità.</w:t>
      </w:r>
    </w:p>
    <w:p w:rsidR="004456AC" w:rsidRPr="004456AC" w:rsidRDefault="004456AC" w:rsidP="004456AC">
      <w:pPr>
        <w:shd w:val="clear" w:color="auto" w:fill="FFFFFF"/>
        <w:spacing w:after="0" w:line="330" w:lineRule="atLeast"/>
        <w:ind w:right="300"/>
        <w:jc w:val="both"/>
        <w:textAlignment w:val="baseline"/>
        <w:rPr>
          <w:rFonts w:ascii="Verdana" w:eastAsia="Times New Roman" w:hAnsi="Verdana" w:cs="Times New Roman"/>
          <w:color w:val="272B33"/>
          <w:sz w:val="20"/>
          <w:szCs w:val="20"/>
          <w:lang w:eastAsia="it-IT"/>
        </w:rPr>
      </w:pPr>
      <w:r w:rsidRPr="004456AC">
        <w:rPr>
          <w:rFonts w:ascii="Verdana" w:eastAsia="Times New Roman" w:hAnsi="Verdana" w:cs="Times New Roman"/>
          <w:color w:val="272B33"/>
          <w:sz w:val="20"/>
          <w:szCs w:val="20"/>
          <w:lang w:eastAsia="it-IT"/>
        </w:rPr>
        <w:t xml:space="preserve">12. Alla stregua delle considerazioni svolte deve, pertanto, pervenirsi al rigetto del ricorso del </w:t>
      </w:r>
      <w:proofErr w:type="gramStart"/>
      <w:r w:rsidRPr="004456AC">
        <w:rPr>
          <w:rFonts w:ascii="Verdana" w:eastAsia="Times New Roman" w:hAnsi="Verdana" w:cs="Times New Roman"/>
          <w:color w:val="272B33"/>
          <w:sz w:val="20"/>
          <w:szCs w:val="20"/>
          <w:lang w:eastAsia="it-IT"/>
        </w:rPr>
        <w:t>L..</w:t>
      </w:r>
      <w:proofErr w:type="gramEnd"/>
    </w:p>
    <w:p w:rsidR="004456AC" w:rsidRPr="004456AC" w:rsidRDefault="004456AC" w:rsidP="004456AC">
      <w:pPr>
        <w:shd w:val="clear" w:color="auto" w:fill="FFFFFF"/>
        <w:spacing w:after="0" w:line="330" w:lineRule="atLeast"/>
        <w:ind w:right="300"/>
        <w:jc w:val="both"/>
        <w:textAlignment w:val="baseline"/>
        <w:rPr>
          <w:rFonts w:ascii="Verdana" w:eastAsia="Times New Roman" w:hAnsi="Verdana" w:cs="Times New Roman"/>
          <w:color w:val="272B33"/>
          <w:sz w:val="20"/>
          <w:szCs w:val="20"/>
          <w:lang w:eastAsia="it-IT"/>
        </w:rPr>
      </w:pPr>
      <w:r w:rsidRPr="004456AC">
        <w:rPr>
          <w:rFonts w:ascii="Verdana" w:eastAsia="Times New Roman" w:hAnsi="Verdana" w:cs="Times New Roman"/>
          <w:color w:val="272B33"/>
          <w:sz w:val="20"/>
          <w:szCs w:val="20"/>
          <w:lang w:eastAsia="it-IT"/>
        </w:rPr>
        <w:t>13. Segue la statuizione sulle spese del giudizio di legittimità in base alla soccombenza nella misura indicata in dispositivo, nei confronti della sola parte costituita, non avendo le altre svolto alcuna attività difensiva.</w:t>
      </w:r>
    </w:p>
    <w:p w:rsidR="004456AC" w:rsidRPr="004456AC" w:rsidRDefault="004456AC" w:rsidP="004456AC">
      <w:pPr>
        <w:shd w:val="clear" w:color="auto" w:fill="FFFFFF"/>
        <w:spacing w:after="0" w:line="330" w:lineRule="atLeast"/>
        <w:ind w:right="300"/>
        <w:jc w:val="both"/>
        <w:textAlignment w:val="baseline"/>
        <w:rPr>
          <w:rFonts w:ascii="Verdana" w:eastAsia="Times New Roman" w:hAnsi="Verdana" w:cs="Times New Roman"/>
          <w:color w:val="272B33"/>
          <w:sz w:val="20"/>
          <w:szCs w:val="20"/>
          <w:lang w:eastAsia="it-IT"/>
        </w:rPr>
      </w:pPr>
      <w:r w:rsidRPr="004456AC">
        <w:rPr>
          <w:rFonts w:ascii="Verdana" w:eastAsia="Times New Roman" w:hAnsi="Verdana" w:cs="Times New Roman"/>
          <w:color w:val="272B33"/>
          <w:sz w:val="20"/>
          <w:szCs w:val="20"/>
          <w:lang w:eastAsia="it-IT"/>
        </w:rPr>
        <w:t>14. Sussistono le condizioni di cui al </w:t>
      </w:r>
      <w:hyperlink r:id="rId35" w:history="1">
        <w:r w:rsidRPr="004456AC">
          <w:rPr>
            <w:rFonts w:ascii="Verdana" w:eastAsia="Times New Roman" w:hAnsi="Verdana" w:cs="Times New Roman"/>
            <w:color w:val="004F8A"/>
            <w:sz w:val="18"/>
            <w:szCs w:val="18"/>
            <w:u w:val="single"/>
            <w:bdr w:val="none" w:sz="0" w:space="0" w:color="auto" w:frame="1"/>
            <w:lang w:eastAsia="it-IT"/>
          </w:rPr>
          <w:t>D.P.R. n. 115 del 2002, art. 13,</w:t>
        </w:r>
      </w:hyperlink>
      <w:r w:rsidRPr="004456AC">
        <w:rPr>
          <w:rFonts w:ascii="Verdana" w:eastAsia="Times New Roman" w:hAnsi="Verdana" w:cs="Times New Roman"/>
          <w:color w:val="272B33"/>
          <w:sz w:val="20"/>
          <w:szCs w:val="20"/>
          <w:lang w:eastAsia="it-IT"/>
        </w:rPr>
        <w:t> comma 1 quater.</w:t>
      </w:r>
    </w:p>
    <w:p w:rsidR="004456AC" w:rsidRPr="004456AC" w:rsidRDefault="004456AC" w:rsidP="004456AC">
      <w:pPr>
        <w:numPr>
          <w:ilvl w:val="0"/>
          <w:numId w:val="1"/>
        </w:numPr>
        <w:shd w:val="clear" w:color="auto" w:fill="FFFFFF"/>
        <w:spacing w:before="300" w:after="0" w:line="270" w:lineRule="atLeast"/>
        <w:ind w:left="0"/>
        <w:jc w:val="center"/>
        <w:textAlignment w:val="baseline"/>
        <w:outlineLvl w:val="2"/>
        <w:rPr>
          <w:rFonts w:ascii="Verdana" w:eastAsia="Times New Roman" w:hAnsi="Verdana" w:cs="Times New Roman"/>
          <w:b/>
          <w:bCs/>
          <w:color w:val="272B33"/>
          <w:sz w:val="20"/>
          <w:szCs w:val="20"/>
          <w:lang w:eastAsia="it-IT"/>
        </w:rPr>
      </w:pPr>
      <w:r w:rsidRPr="004456AC">
        <w:rPr>
          <w:rFonts w:ascii="Verdana" w:eastAsia="Times New Roman" w:hAnsi="Verdana" w:cs="Times New Roman"/>
          <w:b/>
          <w:bCs/>
          <w:color w:val="272B33"/>
          <w:sz w:val="20"/>
          <w:szCs w:val="20"/>
          <w:lang w:eastAsia="it-IT"/>
        </w:rPr>
        <w:t>PQM</w:t>
      </w:r>
    </w:p>
    <w:p w:rsidR="004456AC" w:rsidRPr="004456AC" w:rsidRDefault="004456AC" w:rsidP="004456AC">
      <w:pPr>
        <w:shd w:val="clear" w:color="auto" w:fill="FFFFFF"/>
        <w:spacing w:after="0" w:line="270" w:lineRule="atLeast"/>
        <w:jc w:val="both"/>
        <w:textAlignment w:val="baseline"/>
        <w:rPr>
          <w:rFonts w:ascii="Verdana" w:eastAsia="Times New Roman" w:hAnsi="Verdana" w:cs="Times New Roman"/>
          <w:color w:val="272B33"/>
          <w:sz w:val="20"/>
          <w:szCs w:val="20"/>
          <w:lang w:eastAsia="it-IT"/>
        </w:rPr>
      </w:pPr>
      <w:r w:rsidRPr="004456AC">
        <w:rPr>
          <w:rFonts w:ascii="Verdana" w:eastAsia="Times New Roman" w:hAnsi="Verdana" w:cs="Times New Roman"/>
          <w:color w:val="272B33"/>
          <w:sz w:val="20"/>
          <w:szCs w:val="20"/>
          <w:lang w:eastAsia="it-IT"/>
        </w:rPr>
        <w:t>P.Q.M.</w:t>
      </w:r>
    </w:p>
    <w:p w:rsidR="004456AC" w:rsidRPr="004456AC" w:rsidRDefault="004456AC" w:rsidP="004456AC">
      <w:pPr>
        <w:shd w:val="clear" w:color="auto" w:fill="FFFFFF"/>
        <w:spacing w:after="0" w:line="330" w:lineRule="atLeast"/>
        <w:ind w:right="300"/>
        <w:jc w:val="both"/>
        <w:textAlignment w:val="baseline"/>
        <w:rPr>
          <w:rFonts w:ascii="Verdana" w:eastAsia="Times New Roman" w:hAnsi="Verdana" w:cs="Times New Roman"/>
          <w:color w:val="272B33"/>
          <w:sz w:val="20"/>
          <w:szCs w:val="20"/>
          <w:lang w:eastAsia="it-IT"/>
        </w:rPr>
      </w:pPr>
      <w:r w:rsidRPr="004456AC">
        <w:rPr>
          <w:rFonts w:ascii="Verdana" w:eastAsia="Times New Roman" w:hAnsi="Verdana" w:cs="Times New Roman"/>
          <w:color w:val="272B33"/>
          <w:sz w:val="20"/>
          <w:szCs w:val="20"/>
          <w:lang w:eastAsia="it-IT"/>
        </w:rPr>
        <w:t xml:space="preserve">La Corte rigetta il ricorso e condanna il ricorrente al pagamento, in favore della s.r.l. Borghese Service, delle spese del presente giudizio di legittimità, liquidata in Euro 200,00 per esborsi, Euro 4000,00 per compensi professionali, oltre accessori come per legge, </w:t>
      </w:r>
      <w:proofErr w:type="spellStart"/>
      <w:r w:rsidRPr="004456AC">
        <w:rPr>
          <w:rFonts w:ascii="Verdana" w:eastAsia="Times New Roman" w:hAnsi="Verdana" w:cs="Times New Roman"/>
          <w:color w:val="272B33"/>
          <w:sz w:val="20"/>
          <w:szCs w:val="20"/>
          <w:lang w:eastAsia="it-IT"/>
        </w:rPr>
        <w:t>nonchè</w:t>
      </w:r>
      <w:proofErr w:type="spellEnd"/>
      <w:r w:rsidRPr="004456AC">
        <w:rPr>
          <w:rFonts w:ascii="Verdana" w:eastAsia="Times New Roman" w:hAnsi="Verdana" w:cs="Times New Roman"/>
          <w:color w:val="272B33"/>
          <w:sz w:val="20"/>
          <w:szCs w:val="20"/>
          <w:lang w:eastAsia="it-IT"/>
        </w:rPr>
        <w:t xml:space="preserve"> al rimborso delle spese forfetarie in misura del 15%. Nulla per spese nei confronti delle altre parti.</w:t>
      </w:r>
    </w:p>
    <w:p w:rsidR="004456AC" w:rsidRPr="004456AC" w:rsidRDefault="004456AC" w:rsidP="004456AC">
      <w:pPr>
        <w:shd w:val="clear" w:color="auto" w:fill="FFFFFF"/>
        <w:spacing w:after="0" w:line="330" w:lineRule="atLeast"/>
        <w:ind w:right="300"/>
        <w:jc w:val="both"/>
        <w:textAlignment w:val="baseline"/>
        <w:rPr>
          <w:rFonts w:ascii="Verdana" w:eastAsia="Times New Roman" w:hAnsi="Verdana" w:cs="Times New Roman"/>
          <w:color w:val="272B33"/>
          <w:sz w:val="20"/>
          <w:szCs w:val="20"/>
          <w:lang w:eastAsia="it-IT"/>
        </w:rPr>
      </w:pPr>
      <w:r w:rsidRPr="004456AC">
        <w:rPr>
          <w:rFonts w:ascii="Verdana" w:eastAsia="Times New Roman" w:hAnsi="Verdana" w:cs="Times New Roman"/>
          <w:color w:val="272B33"/>
          <w:sz w:val="20"/>
          <w:szCs w:val="20"/>
          <w:lang w:eastAsia="it-IT"/>
        </w:rPr>
        <w:t>Ai sensi del D.P.R. 30 maggio 2002, art. 13, comma 1 quater, dà atto della sussistenza dei presupposti per il versamento da parte del ricorrente dell'ulteriore importo a titolo di contributo unificato pari a quello dovuto per il ricorso, a norma del citato D.P.R., art. 13, comma 1 bis.</w:t>
      </w:r>
    </w:p>
    <w:p w:rsidR="004456AC" w:rsidRPr="004456AC" w:rsidRDefault="004456AC" w:rsidP="004456AC">
      <w:pPr>
        <w:shd w:val="clear" w:color="auto" w:fill="FFFFFF"/>
        <w:spacing w:after="0" w:line="330" w:lineRule="atLeast"/>
        <w:ind w:right="300"/>
        <w:jc w:val="both"/>
        <w:textAlignment w:val="baseline"/>
        <w:rPr>
          <w:rFonts w:ascii="Verdana" w:eastAsia="Times New Roman" w:hAnsi="Verdana" w:cs="Times New Roman"/>
          <w:color w:val="272B33"/>
          <w:sz w:val="20"/>
          <w:szCs w:val="20"/>
          <w:lang w:eastAsia="it-IT"/>
        </w:rPr>
      </w:pPr>
      <w:r w:rsidRPr="004456AC">
        <w:rPr>
          <w:rFonts w:ascii="Verdana" w:eastAsia="Times New Roman" w:hAnsi="Verdana" w:cs="Times New Roman"/>
          <w:color w:val="272B33"/>
          <w:sz w:val="20"/>
          <w:szCs w:val="20"/>
          <w:lang w:eastAsia="it-IT"/>
        </w:rPr>
        <w:t>Così deciso in Roma, il 10 gennaio 2018.</w:t>
      </w:r>
    </w:p>
    <w:p w:rsidR="004456AC" w:rsidRPr="004456AC" w:rsidRDefault="004456AC" w:rsidP="004456AC">
      <w:pPr>
        <w:shd w:val="clear" w:color="auto" w:fill="FFFFFF"/>
        <w:spacing w:after="0" w:line="330" w:lineRule="atLeast"/>
        <w:ind w:right="300"/>
        <w:jc w:val="both"/>
        <w:textAlignment w:val="baseline"/>
        <w:rPr>
          <w:rFonts w:ascii="Verdana" w:eastAsia="Times New Roman" w:hAnsi="Verdana" w:cs="Times New Roman"/>
          <w:color w:val="272B33"/>
          <w:sz w:val="20"/>
          <w:szCs w:val="20"/>
          <w:lang w:eastAsia="it-IT"/>
        </w:rPr>
      </w:pPr>
      <w:r w:rsidRPr="004456AC">
        <w:rPr>
          <w:rFonts w:ascii="Verdana" w:eastAsia="Times New Roman" w:hAnsi="Verdana" w:cs="Times New Roman"/>
          <w:color w:val="272B33"/>
          <w:sz w:val="20"/>
          <w:szCs w:val="20"/>
          <w:lang w:eastAsia="it-IT"/>
        </w:rPr>
        <w:t>Depositato in Cancelleria il 5 aprile 2018</w:t>
      </w:r>
    </w:p>
    <w:p w:rsidR="00E8519D" w:rsidRDefault="00E8519D"/>
    <w:sectPr w:rsidR="00E8519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5F795A"/>
    <w:multiLevelType w:val="multilevel"/>
    <w:tmpl w:val="643E0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6C6"/>
    <w:rsid w:val="004456AC"/>
    <w:rsid w:val="007840D5"/>
    <w:rsid w:val="009A037E"/>
    <w:rsid w:val="00B126C6"/>
    <w:rsid w:val="00E8519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97464D-4F56-4669-B29E-240279CA3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3">
    <w:name w:val="heading 3"/>
    <w:basedOn w:val="Normale"/>
    <w:link w:val="Titolo3Carattere"/>
    <w:uiPriority w:val="9"/>
    <w:qFormat/>
    <w:rsid w:val="004456AC"/>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4456AC"/>
    <w:rPr>
      <w:rFonts w:ascii="Times New Roman" w:eastAsia="Times New Roman" w:hAnsi="Times New Roman" w:cs="Times New Roman"/>
      <w:b/>
      <w:bCs/>
      <w:sz w:val="27"/>
      <w:szCs w:val="27"/>
      <w:lang w:eastAsia="it-IT"/>
    </w:rPr>
  </w:style>
  <w:style w:type="character" w:customStyle="1" w:styleId="div-title">
    <w:name w:val="div-title"/>
    <w:basedOn w:val="Carpredefinitoparagrafo"/>
    <w:rsid w:val="004456AC"/>
  </w:style>
  <w:style w:type="paragraph" w:styleId="NormaleWeb">
    <w:name w:val="Normal (Web)"/>
    <w:basedOn w:val="Normale"/>
    <w:uiPriority w:val="99"/>
    <w:semiHidden/>
    <w:unhideWhenUsed/>
    <w:rsid w:val="004456A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4456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2251601">
      <w:bodyDiv w:val="1"/>
      <w:marLeft w:val="0"/>
      <w:marRight w:val="0"/>
      <w:marTop w:val="0"/>
      <w:marBottom w:val="0"/>
      <w:divBdr>
        <w:top w:val="none" w:sz="0" w:space="0" w:color="auto"/>
        <w:left w:val="none" w:sz="0" w:space="0" w:color="auto"/>
        <w:bottom w:val="none" w:sz="0" w:space="0" w:color="auto"/>
        <w:right w:val="none" w:sz="0" w:space="0" w:color="auto"/>
      </w:divBdr>
      <w:divsChild>
        <w:div w:id="173302666">
          <w:marLeft w:val="0"/>
          <w:marRight w:val="0"/>
          <w:marTop w:val="0"/>
          <w:marBottom w:val="0"/>
          <w:divBdr>
            <w:top w:val="none" w:sz="0" w:space="0" w:color="auto"/>
            <w:left w:val="none" w:sz="0" w:space="0" w:color="auto"/>
            <w:bottom w:val="none" w:sz="0" w:space="0" w:color="auto"/>
            <w:right w:val="none" w:sz="0" w:space="0" w:color="auto"/>
          </w:divBdr>
          <w:divsChild>
            <w:div w:id="1913005796">
              <w:marLeft w:val="0"/>
              <w:marRight w:val="0"/>
              <w:marTop w:val="75"/>
              <w:marBottom w:val="75"/>
              <w:divBdr>
                <w:top w:val="none" w:sz="0" w:space="0" w:color="auto"/>
                <w:left w:val="none" w:sz="0" w:space="0" w:color="auto"/>
                <w:bottom w:val="none" w:sz="0" w:space="0" w:color="auto"/>
                <w:right w:val="none" w:sz="0" w:space="0" w:color="auto"/>
              </w:divBdr>
            </w:div>
          </w:divsChild>
        </w:div>
        <w:div w:id="904876002">
          <w:marLeft w:val="0"/>
          <w:marRight w:val="0"/>
          <w:marTop w:val="0"/>
          <w:marBottom w:val="0"/>
          <w:divBdr>
            <w:top w:val="none" w:sz="0" w:space="0" w:color="auto"/>
            <w:left w:val="none" w:sz="0" w:space="0" w:color="auto"/>
            <w:bottom w:val="none" w:sz="0" w:space="0" w:color="auto"/>
            <w:right w:val="none" w:sz="0" w:space="0" w:color="auto"/>
          </w:divBdr>
        </w:div>
        <w:div w:id="694043455">
          <w:marLeft w:val="0"/>
          <w:marRight w:val="0"/>
          <w:marTop w:val="0"/>
          <w:marBottom w:val="0"/>
          <w:divBdr>
            <w:top w:val="none" w:sz="0" w:space="0" w:color="auto"/>
            <w:left w:val="none" w:sz="0" w:space="0" w:color="auto"/>
            <w:bottom w:val="none" w:sz="0" w:space="0" w:color="auto"/>
            <w:right w:val="none" w:sz="0" w:space="0" w:color="auto"/>
          </w:divBdr>
        </w:div>
        <w:div w:id="13997497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usexplorer.it/Giurisprudenza/ShowCurrentDocument?IdDocMaster=167881&amp;IdUnitaDoc=843229&amp;NVigUnitaDoc=1&amp;IdDatabanks=10&amp;Pagina=0" TargetMode="External"/><Relationship Id="rId18" Type="http://schemas.openxmlformats.org/officeDocument/2006/relationships/hyperlink" Target="https://www.iusexplorer.it/Giurisprudenza/ShowCurrentDocument?IdDocMaster=166331&amp;IdUnitaDoc=829651&amp;NVigUnitaDoc=1&amp;IdDatabanks=10&amp;Pagina=0" TargetMode="External"/><Relationship Id="rId26" Type="http://schemas.openxmlformats.org/officeDocument/2006/relationships/hyperlink" Target="https://www.iusexplorer.it/Giurisprudenza/ShowCurrentDocument?IdDocMaster=4062407&amp;IdUnitaDoc=0&amp;NVigUnitaDoc=1&amp;IdDatabanks=2&amp;Pagina=0" TargetMode="External"/><Relationship Id="rId21" Type="http://schemas.openxmlformats.org/officeDocument/2006/relationships/hyperlink" Target="https://www.iusexplorer.it/Giurisprudenza/ShowCurrentDocument?IdDocMaster=166331&amp;IdUnitaDoc=828646&amp;NVigUnitaDoc=1&amp;IdDatabanks=10&amp;Pagina=0" TargetMode="External"/><Relationship Id="rId34" Type="http://schemas.openxmlformats.org/officeDocument/2006/relationships/hyperlink" Target="https://www.iusexplorer.it/Giurisprudenza/ShowCurrentDocument?IdDocMaster=167881&amp;IdUnitaDoc=843229&amp;NVigUnitaDoc=1&amp;IdDatabanks=10&amp;Pagina=0" TargetMode="External"/><Relationship Id="rId7" Type="http://schemas.openxmlformats.org/officeDocument/2006/relationships/hyperlink" Target="https://www.iusexplorer.it/Giurisprudenza/ShowCurrentDocument?IdDocMaster=2135633&amp;IdUnitaDoc=6636308&amp;NVigUnitaDoc=1&amp;IdDatabanks=7&amp;Pagina=0" TargetMode="External"/><Relationship Id="rId12" Type="http://schemas.openxmlformats.org/officeDocument/2006/relationships/hyperlink" Target="https://www.iusexplorer.it/Giurisprudenza/ShowCurrentDocument?IdDocMaster=167881&amp;IdUnitaDoc=843219&amp;NVigUnitaDoc=1&amp;IdDatabanks=10&amp;Pagina=0" TargetMode="External"/><Relationship Id="rId17" Type="http://schemas.openxmlformats.org/officeDocument/2006/relationships/hyperlink" Target="https://www.iusexplorer.it/Giurisprudenza/ShowCurrentDocument?IdDocMaster=167881&amp;IdUnitaDoc=843152&amp;NVigUnitaDoc=1&amp;IdDatabanks=10&amp;Pagina=0" TargetMode="External"/><Relationship Id="rId25" Type="http://schemas.openxmlformats.org/officeDocument/2006/relationships/hyperlink" Target="https://www.iusexplorer.it/Giurisprudenza/ShowCurrentDocument?IdDocMaster=4227716&amp;IdUnitaDoc=0&amp;NVigUnitaDoc=1&amp;IdDatabanks=0&amp;Pagina=0" TargetMode="External"/><Relationship Id="rId33" Type="http://schemas.openxmlformats.org/officeDocument/2006/relationships/hyperlink" Target="https://www.iusexplorer.it/Giurisprudenza/ShowCurrentDocument?IdDocMaster=167881&amp;IdUnitaDoc=843152&amp;NVigUnitaDoc=1&amp;IdDatabanks=10&amp;Pagina=0" TargetMode="External"/><Relationship Id="rId2" Type="http://schemas.openxmlformats.org/officeDocument/2006/relationships/styles" Target="styles.xml"/><Relationship Id="rId16" Type="http://schemas.openxmlformats.org/officeDocument/2006/relationships/hyperlink" Target="https://www.iusexplorer.it/Giurisprudenza/ShowCurrentDocument?IdDocMaster=3948143&amp;IdUnitaDoc=20114085&amp;NVigUnitaDoc=1&amp;IdDatabanks=10&amp;Pagina=0" TargetMode="External"/><Relationship Id="rId20" Type="http://schemas.openxmlformats.org/officeDocument/2006/relationships/hyperlink" Target="https://www.iusexplorer.it/Giurisprudenza/ShowCurrentDocument?IdDocMaster=2054888&amp;IdUnitaDoc=6260259&amp;NVigUnitaDoc=1&amp;IdDatabanks=7&amp;Pagina=0" TargetMode="External"/><Relationship Id="rId29" Type="http://schemas.openxmlformats.org/officeDocument/2006/relationships/hyperlink" Target="https://www.iusexplorer.it/Giurisprudenza/ShowCurrentDocument?IdDocMaster=4952144&amp;IdUnitaDoc=0&amp;NVigUnitaDoc=1&amp;IdDatabanks=0&amp;Pagina=0" TargetMode="External"/><Relationship Id="rId1" Type="http://schemas.openxmlformats.org/officeDocument/2006/relationships/numbering" Target="numbering.xml"/><Relationship Id="rId6" Type="http://schemas.openxmlformats.org/officeDocument/2006/relationships/hyperlink" Target="https://www.iusexplorer.it/Giurisprudenza/ShowCurrentDocument?IdDocMaster=1807983&amp;IdUnitaDoc=5634713&amp;NVigUnitaDoc=1&amp;IdDatabanks=7&amp;Pagina=0" TargetMode="External"/><Relationship Id="rId11" Type="http://schemas.openxmlformats.org/officeDocument/2006/relationships/hyperlink" Target="https://www.iusexplorer.it/Giurisprudenza/ShowCurrentDocument?IdDocMaster=167881&amp;IdUnitaDoc=843209&amp;NVigUnitaDoc=1&amp;IdDatabanks=10&amp;Pagina=0" TargetMode="External"/><Relationship Id="rId24" Type="http://schemas.openxmlformats.org/officeDocument/2006/relationships/hyperlink" Target="https://www.iusexplorer.it/Giurisprudenza/ShowCurrentDocument?IdDocMaster=1721128&amp;IdUnitaDoc=0&amp;NVigUnitaDoc=1&amp;IdDatabanks=0&amp;Pagina=0" TargetMode="External"/><Relationship Id="rId32" Type="http://schemas.openxmlformats.org/officeDocument/2006/relationships/hyperlink" Target="https://www.iusexplorer.it/Giurisprudenza/ShowCurrentDocument?IdDocMaster=2054888&amp;IdUnitaDoc=6260268&amp;NVigUnitaDoc=1&amp;IdDatabanks=7&amp;Pagina=0" TargetMode="External"/><Relationship Id="rId37" Type="http://schemas.openxmlformats.org/officeDocument/2006/relationships/theme" Target="theme/theme1.xml"/><Relationship Id="rId5" Type="http://schemas.openxmlformats.org/officeDocument/2006/relationships/hyperlink" Target="https://www.iusexplorer.it/Giurisprudenza/ShowCurrentDocument?IdDocMaster=2135517&amp;IdUnitaDoc=6635147&amp;NVigUnitaDoc=1&amp;IdDatabanks=7&amp;Pagina=0" TargetMode="External"/><Relationship Id="rId15" Type="http://schemas.openxmlformats.org/officeDocument/2006/relationships/hyperlink" Target="https://www.iusexplorer.it/Giurisprudenza/ShowCurrentDocument?IdDocMaster=2119940&amp;IdUnitaDoc=6536764&amp;NVigUnitaDoc=1&amp;IdDatabanks=7&amp;Pagina=0" TargetMode="External"/><Relationship Id="rId23" Type="http://schemas.openxmlformats.org/officeDocument/2006/relationships/hyperlink" Target="https://www.iusexplorer.it/Giurisprudenza/ShowCurrentDocument?IdDocMaster=1718225&amp;IdUnitaDoc=0&amp;NVigUnitaDoc=1&amp;IdDatabanks=0&amp;Pagina=0" TargetMode="External"/><Relationship Id="rId28" Type="http://schemas.openxmlformats.org/officeDocument/2006/relationships/hyperlink" Target="https://www.iusexplorer.it/Giurisprudenza/ShowCurrentDocument?IdDocMaster=5027129&amp;IdUnitaDoc=0&amp;NVigUnitaDoc=1&amp;IdDatabanks=0&amp;Pagina=0" TargetMode="External"/><Relationship Id="rId36" Type="http://schemas.openxmlformats.org/officeDocument/2006/relationships/fontTable" Target="fontTable.xml"/><Relationship Id="rId10" Type="http://schemas.openxmlformats.org/officeDocument/2006/relationships/hyperlink" Target="https://www.iusexplorer.it/Giurisprudenza/ShowCurrentDocument?IdDocMaster=167881&amp;IdUnitaDoc=843152&amp;NVigUnitaDoc=1&amp;IdDatabanks=10&amp;Pagina=0" TargetMode="External"/><Relationship Id="rId19" Type="http://schemas.openxmlformats.org/officeDocument/2006/relationships/hyperlink" Target="https://www.iusexplorer.it/Giurisprudenza/ShowCurrentDocument?IdDocMaster=166331&amp;IdUnitaDoc=829676&amp;NVigUnitaDoc=1&amp;IdDatabanks=10&amp;Pagina=0" TargetMode="External"/><Relationship Id="rId31" Type="http://schemas.openxmlformats.org/officeDocument/2006/relationships/hyperlink" Target="https://www.iusexplorer.it/Giurisprudenza/ShowCurrentDocument?IdDocMaster=5346246&amp;IdUnitaDoc=0&amp;NVigUnitaDoc=1&amp;IdDatabanks=0&amp;Pagina=0" TargetMode="External"/><Relationship Id="rId4" Type="http://schemas.openxmlformats.org/officeDocument/2006/relationships/webSettings" Target="webSettings.xml"/><Relationship Id="rId9" Type="http://schemas.openxmlformats.org/officeDocument/2006/relationships/hyperlink" Target="https://www.iusexplorer.it/Giurisprudenza/ShowCurrentDocument?IdDocMaster=3948143&amp;IdUnitaDoc=20114107&amp;NVigUnitaDoc=1&amp;IdDatabanks=10&amp;Pagina=0" TargetMode="External"/><Relationship Id="rId14" Type="http://schemas.openxmlformats.org/officeDocument/2006/relationships/hyperlink" Target="https://www.iusexplorer.it/Giurisprudenza/ShowCurrentDocument?IdDocMaster=2054888&amp;IdUnitaDoc=6260259&amp;NVigUnitaDoc=1&amp;IdDatabanks=7&amp;Pagina=0" TargetMode="External"/><Relationship Id="rId22" Type="http://schemas.openxmlformats.org/officeDocument/2006/relationships/hyperlink" Target="https://www.iusexplorer.it/Giurisprudenza/ShowCurrentDocument?IdDocMaster=166331&amp;IdUnitaDoc=828648&amp;NVigUnitaDoc=1&amp;IdDatabanks=10&amp;Pagina=0" TargetMode="External"/><Relationship Id="rId27" Type="http://schemas.openxmlformats.org/officeDocument/2006/relationships/hyperlink" Target="https://www.iusexplorer.it/Giurisprudenza/ShowCurrentDocument?IdDocMaster=477272&amp;IdUnitaDoc=0&amp;NVigUnitaDoc=1&amp;IdDatabanks=0&amp;Pagina=0" TargetMode="External"/><Relationship Id="rId30" Type="http://schemas.openxmlformats.org/officeDocument/2006/relationships/hyperlink" Target="https://www.iusexplorer.it/Giurisprudenza/ShowCurrentDocument?IdDocMaster=5057373&amp;IdUnitaDoc=0&amp;NVigUnitaDoc=1&amp;IdDatabanks=0&amp;Pagina=0" TargetMode="External"/><Relationship Id="rId35" Type="http://schemas.openxmlformats.org/officeDocument/2006/relationships/hyperlink" Target="https://www.iusexplorer.it/Giurisprudenza/ShowCurrentDocument?IdDocMaster=1963453&amp;IdUnitaDoc=6027980&amp;NVigUnitaDoc=1&amp;IdDatabanks=7&amp;Pagina=0" TargetMode="External"/><Relationship Id="rId8" Type="http://schemas.openxmlformats.org/officeDocument/2006/relationships/hyperlink" Target="https://www.iusexplorer.it/Giurisprudenza/ShowCurrentDocument?IdDocMaster=3948143&amp;IdUnitaDoc=20114107&amp;NVigUnitaDoc=1&amp;IdDatabanks=10&amp;Pagina=0" TargetMode="External"/><Relationship Id="rId3"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2602</Words>
  <Characters>14836</Characters>
  <Application>Microsoft Office Word</Application>
  <DocSecurity>0</DocSecurity>
  <Lines>123</Lines>
  <Paragraphs>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Avv. Ruggieri</dc:creator>
  <cp:keywords/>
  <dc:description/>
  <cp:lastModifiedBy>Avv. Ruggieri</cp:lastModifiedBy>
  <cp:revision>2</cp:revision>
  <dcterms:created xsi:type="dcterms:W3CDTF">2018-04-24T09:14:00Z</dcterms:created>
  <dcterms:modified xsi:type="dcterms:W3CDTF">2018-04-26T16:41:00Z</dcterms:modified>
</cp:coreProperties>
</file>